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62A">
        <w:rPr>
          <w:rFonts w:ascii="Times New Roman" w:hAnsi="Times New Roman"/>
          <w:sz w:val="28"/>
          <w:szCs w:val="28"/>
        </w:rPr>
        <w:t>УДК 616.314.17</w:t>
      </w:r>
      <w:r w:rsidRPr="0024262A">
        <w:rPr>
          <w:rFonts w:ascii="Times New Roman" w:hAnsi="Times New Roman"/>
          <w:sz w:val="28"/>
          <w:szCs w:val="28"/>
        </w:rPr>
        <w:softHyphen/>
        <w:t>002.2</w:t>
      </w:r>
      <w:r w:rsidRPr="0024262A">
        <w:rPr>
          <w:rFonts w:ascii="Times New Roman" w:hAnsi="Times New Roman"/>
          <w:sz w:val="28"/>
          <w:szCs w:val="28"/>
        </w:rPr>
        <w:softHyphen/>
        <w:t>085.275.4</w:t>
      </w: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62A">
        <w:rPr>
          <w:rFonts w:ascii="Times New Roman" w:hAnsi="Times New Roman"/>
          <w:sz w:val="28"/>
          <w:szCs w:val="28"/>
        </w:rPr>
        <w:t xml:space="preserve">В.А. Румянцев, Е.В. </w:t>
      </w:r>
      <w:proofErr w:type="spellStart"/>
      <w:r w:rsidRPr="0024262A">
        <w:rPr>
          <w:rFonts w:ascii="Times New Roman" w:hAnsi="Times New Roman"/>
          <w:sz w:val="28"/>
          <w:szCs w:val="28"/>
        </w:rPr>
        <w:t>Битюкова</w:t>
      </w:r>
      <w:proofErr w:type="spellEnd"/>
      <w:r w:rsidRPr="0024262A">
        <w:rPr>
          <w:rFonts w:ascii="Times New Roman" w:hAnsi="Times New Roman"/>
          <w:sz w:val="28"/>
          <w:szCs w:val="28"/>
        </w:rPr>
        <w:t xml:space="preserve">, Е.Д. </w:t>
      </w:r>
      <w:proofErr w:type="spellStart"/>
      <w:r w:rsidRPr="0024262A">
        <w:rPr>
          <w:rFonts w:ascii="Times New Roman" w:hAnsi="Times New Roman"/>
          <w:sz w:val="28"/>
          <w:szCs w:val="28"/>
        </w:rPr>
        <w:t>Бруй</w:t>
      </w:r>
      <w:proofErr w:type="spellEnd"/>
      <w:r w:rsidRPr="0024262A">
        <w:rPr>
          <w:rFonts w:ascii="Times New Roman" w:hAnsi="Times New Roman"/>
          <w:sz w:val="28"/>
          <w:szCs w:val="28"/>
        </w:rPr>
        <w:t xml:space="preserve">, А.Г. Денис, А.В. </w:t>
      </w:r>
      <w:proofErr w:type="spellStart"/>
      <w:r w:rsidRPr="0024262A">
        <w:rPr>
          <w:rFonts w:ascii="Times New Roman" w:hAnsi="Times New Roman"/>
          <w:sz w:val="28"/>
          <w:szCs w:val="28"/>
        </w:rPr>
        <w:t>Закарян</w:t>
      </w:r>
      <w:proofErr w:type="spellEnd"/>
    </w:p>
    <w:p w:rsidR="00E724FA" w:rsidRPr="00947265" w:rsidRDefault="00E724FA" w:rsidP="0024262A">
      <w:pPr>
        <w:spacing w:before="0"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7265">
        <w:rPr>
          <w:rFonts w:ascii="Times New Roman" w:hAnsi="Times New Roman"/>
          <w:b/>
          <w:sz w:val="28"/>
          <w:szCs w:val="28"/>
        </w:rPr>
        <w:t xml:space="preserve">ИСПОЛЬЗОВАНИЕ </w:t>
      </w:r>
      <w:r w:rsidR="00301C0A" w:rsidRPr="00947265">
        <w:rPr>
          <w:rFonts w:ascii="Times New Roman" w:hAnsi="Times New Roman"/>
          <w:b/>
          <w:sz w:val="28"/>
          <w:szCs w:val="28"/>
        </w:rPr>
        <w:t xml:space="preserve"> «ИМУДОНА» В </w:t>
      </w:r>
      <w:r w:rsidR="0024262A" w:rsidRPr="00947265">
        <w:rPr>
          <w:rFonts w:ascii="Times New Roman" w:hAnsi="Times New Roman"/>
          <w:b/>
          <w:sz w:val="28"/>
          <w:szCs w:val="28"/>
        </w:rPr>
        <w:t>ТЕРАПИИ</w:t>
      </w:r>
      <w:r w:rsidR="00301C0A" w:rsidRPr="00947265">
        <w:rPr>
          <w:rFonts w:ascii="Times New Roman" w:hAnsi="Times New Roman"/>
          <w:b/>
          <w:sz w:val="28"/>
          <w:szCs w:val="28"/>
        </w:rPr>
        <w:t xml:space="preserve"> БОЛЬНЫХ ХРОНИЧЕСКИМ ГЕНЕРАЛИЗОВАННЫМ ПАРОДОНТИТОМ </w:t>
      </w:r>
    </w:p>
    <w:p w:rsidR="0024262A" w:rsidRPr="0024262A" w:rsidRDefault="0024262A" w:rsidP="0024262A">
      <w:pPr>
        <w:spacing w:before="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4262A" w:rsidRPr="0024262A" w:rsidRDefault="0024262A" w:rsidP="0024262A">
      <w:pPr>
        <w:autoSpaceDE w:val="0"/>
        <w:autoSpaceDN w:val="0"/>
        <w:adjustRightInd w:val="0"/>
        <w:spacing w:before="0" w:after="0" w:line="36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24262A">
        <w:rPr>
          <w:rFonts w:ascii="Times New Roman" w:hAnsi="Times New Roman"/>
          <w:i/>
          <w:sz w:val="28"/>
          <w:szCs w:val="24"/>
        </w:rPr>
        <w:t xml:space="preserve">ГБОУ ВПО </w:t>
      </w:r>
      <w:proofErr w:type="gramStart"/>
      <w:r w:rsidRPr="0024262A">
        <w:rPr>
          <w:rFonts w:ascii="Times New Roman" w:hAnsi="Times New Roman"/>
          <w:i/>
          <w:sz w:val="28"/>
          <w:szCs w:val="24"/>
        </w:rPr>
        <w:t>Тверская</w:t>
      </w:r>
      <w:proofErr w:type="gramEnd"/>
      <w:r w:rsidRPr="0024262A">
        <w:rPr>
          <w:rFonts w:ascii="Times New Roman" w:hAnsi="Times New Roman"/>
          <w:i/>
          <w:sz w:val="28"/>
          <w:szCs w:val="24"/>
        </w:rPr>
        <w:t xml:space="preserve"> ГМА Минздрава России</w:t>
      </w:r>
      <w:r w:rsidRPr="0024262A">
        <w:rPr>
          <w:rFonts w:ascii="Times New Roman" w:hAnsi="Times New Roman"/>
          <w:sz w:val="28"/>
          <w:szCs w:val="24"/>
        </w:rPr>
        <w:t xml:space="preserve"> </w:t>
      </w: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4262A">
        <w:rPr>
          <w:rFonts w:ascii="Times New Roman" w:hAnsi="Times New Roman"/>
          <w:b/>
          <w:sz w:val="28"/>
          <w:szCs w:val="28"/>
        </w:rPr>
        <w:t xml:space="preserve">Сравнили эффективность добавления в схему комплексного лечения 22 больных хроническим </w:t>
      </w:r>
      <w:proofErr w:type="spellStart"/>
      <w:r w:rsidRPr="0024262A">
        <w:rPr>
          <w:rFonts w:ascii="Times New Roman" w:hAnsi="Times New Roman"/>
          <w:b/>
          <w:sz w:val="28"/>
          <w:szCs w:val="28"/>
        </w:rPr>
        <w:t>генерализованным</w:t>
      </w:r>
      <w:proofErr w:type="spellEnd"/>
      <w:r w:rsidRPr="002426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4262A">
        <w:rPr>
          <w:rFonts w:ascii="Times New Roman" w:hAnsi="Times New Roman"/>
          <w:b/>
          <w:sz w:val="28"/>
          <w:szCs w:val="28"/>
        </w:rPr>
        <w:t>пародонтитом</w:t>
      </w:r>
      <w:proofErr w:type="spellEnd"/>
      <w:r w:rsidRPr="0024262A">
        <w:rPr>
          <w:rFonts w:ascii="Times New Roman" w:hAnsi="Times New Roman"/>
          <w:b/>
          <w:sz w:val="28"/>
          <w:szCs w:val="28"/>
        </w:rPr>
        <w:t xml:space="preserve"> в стадии обострения местного </w:t>
      </w:r>
      <w:proofErr w:type="spellStart"/>
      <w:r w:rsidRPr="0024262A">
        <w:rPr>
          <w:rFonts w:ascii="Times New Roman" w:hAnsi="Times New Roman"/>
          <w:b/>
          <w:sz w:val="28"/>
          <w:szCs w:val="28"/>
        </w:rPr>
        <w:t>иммунокорректора</w:t>
      </w:r>
      <w:proofErr w:type="spellEnd"/>
      <w:r w:rsidRPr="0024262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24262A">
        <w:rPr>
          <w:rFonts w:ascii="Times New Roman" w:hAnsi="Times New Roman"/>
          <w:b/>
          <w:sz w:val="28"/>
          <w:szCs w:val="28"/>
        </w:rPr>
        <w:t>Имудон</w:t>
      </w:r>
      <w:proofErr w:type="spellEnd"/>
      <w:r w:rsidRPr="0024262A">
        <w:rPr>
          <w:rFonts w:ascii="Times New Roman" w:hAnsi="Times New Roman"/>
          <w:b/>
          <w:sz w:val="28"/>
          <w:szCs w:val="28"/>
        </w:rPr>
        <w:t xml:space="preserve">». Кроме клинических показателей состояния пародонта в </w:t>
      </w:r>
      <w:proofErr w:type="gramStart"/>
      <w:r w:rsidRPr="0024262A">
        <w:rPr>
          <w:rFonts w:ascii="Times New Roman" w:hAnsi="Times New Roman"/>
          <w:b/>
          <w:sz w:val="28"/>
          <w:szCs w:val="28"/>
        </w:rPr>
        <w:t>смывах</w:t>
      </w:r>
      <w:proofErr w:type="gramEnd"/>
      <w:r w:rsidRPr="0024262A">
        <w:rPr>
          <w:rFonts w:ascii="Times New Roman" w:hAnsi="Times New Roman"/>
          <w:b/>
          <w:sz w:val="28"/>
          <w:szCs w:val="28"/>
        </w:rPr>
        <w:t xml:space="preserve"> из полости рта и в </w:t>
      </w:r>
      <w:proofErr w:type="spellStart"/>
      <w:r w:rsidRPr="0024262A">
        <w:rPr>
          <w:rFonts w:ascii="Times New Roman" w:hAnsi="Times New Roman"/>
          <w:b/>
          <w:sz w:val="28"/>
          <w:szCs w:val="28"/>
        </w:rPr>
        <w:t>десневой</w:t>
      </w:r>
      <w:proofErr w:type="spellEnd"/>
      <w:r w:rsidRPr="0024262A">
        <w:rPr>
          <w:rFonts w:ascii="Times New Roman" w:hAnsi="Times New Roman"/>
          <w:b/>
          <w:sz w:val="28"/>
          <w:szCs w:val="28"/>
        </w:rPr>
        <w:t xml:space="preserve"> жидкости определяли количество лейкоцитов, фагоцитарную и адгезивную активность нейтрофилов. В ротовой жидкости оценивали содержание секреторного иммуноглобулина A. Сравнение провели с традиционным комплексным лечением </w:t>
      </w:r>
      <w:proofErr w:type="spellStart"/>
      <w:r w:rsidRPr="0024262A">
        <w:rPr>
          <w:rFonts w:ascii="Times New Roman" w:hAnsi="Times New Roman"/>
          <w:b/>
          <w:sz w:val="28"/>
          <w:szCs w:val="28"/>
        </w:rPr>
        <w:t>пародонтита</w:t>
      </w:r>
      <w:proofErr w:type="spellEnd"/>
      <w:r w:rsidRPr="0024262A">
        <w:rPr>
          <w:rFonts w:ascii="Times New Roman" w:hAnsi="Times New Roman"/>
          <w:b/>
          <w:sz w:val="28"/>
          <w:szCs w:val="28"/>
        </w:rPr>
        <w:t xml:space="preserve"> без «</w:t>
      </w:r>
      <w:proofErr w:type="spellStart"/>
      <w:r w:rsidRPr="0024262A">
        <w:rPr>
          <w:rFonts w:ascii="Times New Roman" w:hAnsi="Times New Roman"/>
          <w:b/>
          <w:sz w:val="28"/>
          <w:szCs w:val="28"/>
        </w:rPr>
        <w:t>Имудона</w:t>
      </w:r>
      <w:proofErr w:type="spellEnd"/>
      <w:r w:rsidRPr="0024262A">
        <w:rPr>
          <w:rFonts w:ascii="Times New Roman" w:hAnsi="Times New Roman"/>
          <w:b/>
          <w:sz w:val="28"/>
          <w:szCs w:val="28"/>
        </w:rPr>
        <w:t>» (22 человека) и практически здоровыми добровольцами (15 человек). Выявлено преимущество лечения с использованием «</w:t>
      </w:r>
      <w:proofErr w:type="spellStart"/>
      <w:r w:rsidRPr="0024262A">
        <w:rPr>
          <w:rFonts w:ascii="Times New Roman" w:hAnsi="Times New Roman"/>
          <w:b/>
          <w:sz w:val="28"/>
          <w:szCs w:val="28"/>
        </w:rPr>
        <w:t>Имудона</w:t>
      </w:r>
      <w:proofErr w:type="spellEnd"/>
      <w:r w:rsidRPr="0024262A">
        <w:rPr>
          <w:rFonts w:ascii="Times New Roman" w:hAnsi="Times New Roman"/>
          <w:b/>
          <w:sz w:val="28"/>
          <w:szCs w:val="28"/>
        </w:rPr>
        <w:t>» по влиянию на клинические и лабораторные показатели. При обострении хронического пародонтита происходит усиление эмиграции нейтрофилов, активируется фагоцитоз и увеличивается образование секреторного иммуноглобулина A. В 2 раза сокращаются сроки ликвидации острых воспалительных явлений.</w:t>
      </w: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4262A">
        <w:rPr>
          <w:rFonts w:ascii="Times New Roman" w:hAnsi="Times New Roman"/>
          <w:b/>
          <w:bCs/>
          <w:sz w:val="28"/>
          <w:szCs w:val="28"/>
        </w:rPr>
        <w:t>Ключевые слова</w:t>
      </w:r>
      <w:r w:rsidRPr="0024262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24262A">
        <w:rPr>
          <w:rFonts w:ascii="Times New Roman" w:hAnsi="Times New Roman"/>
          <w:i/>
          <w:sz w:val="28"/>
          <w:szCs w:val="28"/>
        </w:rPr>
        <w:t>Имудон</w:t>
      </w:r>
      <w:proofErr w:type="spellEnd"/>
      <w:r w:rsidRPr="0024262A">
        <w:rPr>
          <w:rFonts w:ascii="Times New Roman" w:hAnsi="Times New Roman"/>
          <w:i/>
          <w:sz w:val="28"/>
          <w:szCs w:val="28"/>
        </w:rPr>
        <w:t>, лечение обострения хронического пародонтита, показатели местного иммунитета.</w:t>
      </w:r>
    </w:p>
    <w:p w:rsidR="0024262A" w:rsidRDefault="0024262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4262A" w:rsidRDefault="0024262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4262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4262A">
        <w:rPr>
          <w:rFonts w:ascii="Times New Roman" w:hAnsi="Times New Roman"/>
          <w:b/>
          <w:sz w:val="28"/>
          <w:szCs w:val="28"/>
          <w:lang w:val="en-US"/>
        </w:rPr>
        <w:t>EFFICIENCY OF «IMUDON» IN COMPLEX TREATMENT</w:t>
      </w:r>
      <w:r w:rsidR="0024262A" w:rsidRPr="0024262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4262A">
        <w:rPr>
          <w:rFonts w:ascii="Times New Roman" w:hAnsi="Times New Roman"/>
          <w:b/>
          <w:sz w:val="28"/>
          <w:szCs w:val="28"/>
          <w:lang w:val="en-US"/>
        </w:rPr>
        <w:t xml:space="preserve">OF PATIENTS WITH CHRONIC GENERAL PERIODONTITIS </w:t>
      </w:r>
      <w:r w:rsidRPr="0024262A">
        <w:rPr>
          <w:rFonts w:ascii="Times New Roman" w:hAnsi="Times New Roman"/>
          <w:b/>
          <w:sz w:val="28"/>
          <w:szCs w:val="28"/>
          <w:lang w:val="en-US"/>
        </w:rPr>
        <w:br/>
      </w:r>
    </w:p>
    <w:p w:rsidR="00301C0A" w:rsidRPr="00947265" w:rsidRDefault="00301C0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24262A">
        <w:rPr>
          <w:rFonts w:ascii="Times New Roman" w:hAnsi="Times New Roman"/>
          <w:sz w:val="28"/>
          <w:szCs w:val="28"/>
          <w:lang w:val="en-US"/>
        </w:rPr>
        <w:t>V</w:t>
      </w:r>
      <w:r w:rsidRPr="00947265">
        <w:rPr>
          <w:rFonts w:ascii="Times New Roman" w:hAnsi="Times New Roman"/>
          <w:sz w:val="28"/>
          <w:szCs w:val="28"/>
          <w:lang w:val="en-US"/>
        </w:rPr>
        <w:t>.</w:t>
      </w:r>
      <w:r w:rsidRPr="0024262A">
        <w:rPr>
          <w:rFonts w:ascii="Times New Roman" w:hAnsi="Times New Roman"/>
          <w:sz w:val="28"/>
          <w:szCs w:val="28"/>
          <w:lang w:val="en-US"/>
        </w:rPr>
        <w:t>A</w:t>
      </w:r>
      <w:r w:rsidRPr="0094726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24262A">
        <w:rPr>
          <w:rFonts w:ascii="Times New Roman" w:hAnsi="Times New Roman"/>
          <w:sz w:val="28"/>
          <w:szCs w:val="28"/>
          <w:lang w:val="en-US"/>
        </w:rPr>
        <w:t>Rumjantsev</w:t>
      </w:r>
      <w:proofErr w:type="spellEnd"/>
      <w:r w:rsidRPr="0094726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4262A">
        <w:rPr>
          <w:rFonts w:ascii="Times New Roman" w:hAnsi="Times New Roman"/>
          <w:sz w:val="28"/>
          <w:szCs w:val="28"/>
          <w:lang w:val="en-US"/>
        </w:rPr>
        <w:t>E</w:t>
      </w:r>
      <w:r w:rsidRPr="00947265">
        <w:rPr>
          <w:rFonts w:ascii="Times New Roman" w:hAnsi="Times New Roman"/>
          <w:sz w:val="28"/>
          <w:szCs w:val="28"/>
          <w:lang w:val="en-US"/>
        </w:rPr>
        <w:t>.</w:t>
      </w:r>
      <w:r w:rsidRPr="0024262A">
        <w:rPr>
          <w:rFonts w:ascii="Times New Roman" w:hAnsi="Times New Roman"/>
          <w:sz w:val="28"/>
          <w:szCs w:val="28"/>
          <w:lang w:val="en-US"/>
        </w:rPr>
        <w:t>V</w:t>
      </w:r>
      <w:r w:rsidRPr="0094726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24262A">
        <w:rPr>
          <w:rFonts w:ascii="Times New Roman" w:hAnsi="Times New Roman"/>
          <w:sz w:val="28"/>
          <w:szCs w:val="28"/>
          <w:lang w:val="en-US"/>
        </w:rPr>
        <w:t>Bitjukova</w:t>
      </w:r>
      <w:proofErr w:type="spellEnd"/>
      <w:r w:rsidRPr="0094726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4262A">
        <w:rPr>
          <w:rFonts w:ascii="Times New Roman" w:hAnsi="Times New Roman"/>
          <w:sz w:val="28"/>
          <w:szCs w:val="28"/>
          <w:lang w:val="en-US"/>
        </w:rPr>
        <w:t>E</w:t>
      </w:r>
      <w:r w:rsidRPr="00947265">
        <w:rPr>
          <w:rFonts w:ascii="Times New Roman" w:hAnsi="Times New Roman"/>
          <w:sz w:val="28"/>
          <w:szCs w:val="28"/>
          <w:lang w:val="en-US"/>
        </w:rPr>
        <w:t>.</w:t>
      </w:r>
      <w:r w:rsidRPr="0024262A">
        <w:rPr>
          <w:rFonts w:ascii="Times New Roman" w:hAnsi="Times New Roman"/>
          <w:sz w:val="28"/>
          <w:szCs w:val="28"/>
          <w:lang w:val="en-US"/>
        </w:rPr>
        <w:t>D</w:t>
      </w:r>
      <w:r w:rsidRPr="0094726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24262A">
        <w:rPr>
          <w:rFonts w:ascii="Times New Roman" w:hAnsi="Times New Roman"/>
          <w:sz w:val="28"/>
          <w:szCs w:val="28"/>
          <w:lang w:val="en-US"/>
        </w:rPr>
        <w:t>Bruj</w:t>
      </w:r>
      <w:proofErr w:type="spellEnd"/>
      <w:r w:rsidRPr="0094726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4262A">
        <w:rPr>
          <w:rFonts w:ascii="Times New Roman" w:hAnsi="Times New Roman"/>
          <w:sz w:val="28"/>
          <w:szCs w:val="28"/>
          <w:lang w:val="en-US"/>
        </w:rPr>
        <w:t>A</w:t>
      </w:r>
      <w:r w:rsidRPr="00947265">
        <w:rPr>
          <w:rFonts w:ascii="Times New Roman" w:hAnsi="Times New Roman"/>
          <w:sz w:val="28"/>
          <w:szCs w:val="28"/>
          <w:lang w:val="en-US"/>
        </w:rPr>
        <w:t>.</w:t>
      </w:r>
      <w:r w:rsidRPr="0024262A">
        <w:rPr>
          <w:rFonts w:ascii="Times New Roman" w:hAnsi="Times New Roman"/>
          <w:sz w:val="28"/>
          <w:szCs w:val="28"/>
          <w:lang w:val="en-US"/>
        </w:rPr>
        <w:t>G</w:t>
      </w:r>
      <w:r w:rsidRPr="0094726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4262A">
        <w:rPr>
          <w:rFonts w:ascii="Times New Roman" w:hAnsi="Times New Roman"/>
          <w:sz w:val="28"/>
          <w:szCs w:val="28"/>
          <w:lang w:val="en-US"/>
        </w:rPr>
        <w:t>Denis</w:t>
      </w:r>
      <w:r w:rsidRPr="0094726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4262A">
        <w:rPr>
          <w:rFonts w:ascii="Times New Roman" w:hAnsi="Times New Roman"/>
          <w:sz w:val="28"/>
          <w:szCs w:val="28"/>
          <w:lang w:val="en-US"/>
        </w:rPr>
        <w:t>A</w:t>
      </w:r>
      <w:r w:rsidRPr="00947265">
        <w:rPr>
          <w:rFonts w:ascii="Times New Roman" w:hAnsi="Times New Roman"/>
          <w:sz w:val="28"/>
          <w:szCs w:val="28"/>
          <w:lang w:val="en-US"/>
        </w:rPr>
        <w:t>.</w:t>
      </w:r>
      <w:r w:rsidRPr="0024262A">
        <w:rPr>
          <w:rFonts w:ascii="Times New Roman" w:hAnsi="Times New Roman"/>
          <w:sz w:val="28"/>
          <w:szCs w:val="28"/>
          <w:lang w:val="en-US"/>
        </w:rPr>
        <w:t>V</w:t>
      </w:r>
      <w:r w:rsidRPr="0094726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24262A">
        <w:rPr>
          <w:rFonts w:ascii="Times New Roman" w:hAnsi="Times New Roman"/>
          <w:sz w:val="28"/>
          <w:szCs w:val="28"/>
          <w:lang w:val="en-US"/>
        </w:rPr>
        <w:t>Zakarjan</w:t>
      </w:r>
      <w:proofErr w:type="spellEnd"/>
    </w:p>
    <w:p w:rsidR="0024262A" w:rsidRPr="00947265" w:rsidRDefault="0024262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4262A">
        <w:rPr>
          <w:rFonts w:ascii="Times New Roman" w:hAnsi="Times New Roman"/>
          <w:sz w:val="28"/>
          <w:szCs w:val="28"/>
          <w:lang w:val="en-US"/>
        </w:rPr>
        <w:t>Tver</w:t>
      </w:r>
      <w:proofErr w:type="spellEnd"/>
      <w:r w:rsidRPr="0024262A">
        <w:rPr>
          <w:rFonts w:ascii="Times New Roman" w:hAnsi="Times New Roman"/>
          <w:sz w:val="28"/>
          <w:szCs w:val="28"/>
          <w:lang w:val="en-US"/>
        </w:rPr>
        <w:t xml:space="preserve"> State Medical Academy</w:t>
      </w:r>
    </w:p>
    <w:p w:rsidR="0024262A" w:rsidRDefault="0024262A" w:rsidP="0024262A">
      <w:pPr>
        <w:spacing w:before="0" w:after="0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b/>
          <w:spacing w:val="2"/>
          <w:sz w:val="28"/>
          <w:szCs w:val="28"/>
          <w:lang w:val="en-US"/>
        </w:rPr>
      </w:pPr>
      <w:proofErr w:type="gramStart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>Have compared efficiency of addition in the circuit of complex treatment of 22 patients with chronic general periodontitis in a stage of an aggravation local immune corrector «</w:t>
      </w:r>
      <w:proofErr w:type="spellStart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>Imudon</w:t>
      </w:r>
      <w:proofErr w:type="spellEnd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>».</w:t>
      </w:r>
      <w:proofErr w:type="gramEnd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 xml:space="preserve"> Except for clinical parameters of a condition </w:t>
      </w:r>
      <w:proofErr w:type="spellStart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>periodontium</w:t>
      </w:r>
      <w:proofErr w:type="spellEnd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 xml:space="preserve"> in washouts from an oral cavity and in gingival liquids defined quantity of leukocytes, phagocytic and adhesive activity of </w:t>
      </w:r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lastRenderedPageBreak/>
        <w:t xml:space="preserve">neutrophils. In an oral liquid estimated the contents of </w:t>
      </w:r>
      <w:proofErr w:type="spellStart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>secretory</w:t>
      </w:r>
      <w:proofErr w:type="spellEnd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 xml:space="preserve"> </w:t>
      </w:r>
      <w:proofErr w:type="spellStart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>Ig</w:t>
      </w:r>
      <w:proofErr w:type="spellEnd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 xml:space="preserve"> A. Comparison have carried out with traditional complex treatment of </w:t>
      </w:r>
      <w:proofErr w:type="spellStart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>periodontitis</w:t>
      </w:r>
      <w:proofErr w:type="spellEnd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 xml:space="preserve"> without «</w:t>
      </w:r>
      <w:proofErr w:type="spellStart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>Imudon</w:t>
      </w:r>
      <w:proofErr w:type="spellEnd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>» (22 persons) and practically healthy volunteers (15 person). Advantage of treatment with use «</w:t>
      </w:r>
      <w:proofErr w:type="spellStart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>Imudon</w:t>
      </w:r>
      <w:proofErr w:type="spellEnd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 xml:space="preserve">» on influence on clinical and laboratory parameters is revealed. At an aggravation chronic periodontitis there is an amplification of emigration neutrophils, is activated phagocytosis and formation of </w:t>
      </w:r>
      <w:proofErr w:type="spellStart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>secretory</w:t>
      </w:r>
      <w:proofErr w:type="spellEnd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 xml:space="preserve"> </w:t>
      </w:r>
      <w:proofErr w:type="spellStart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>Ig</w:t>
      </w:r>
      <w:proofErr w:type="spellEnd"/>
      <w:r w:rsidRPr="0024262A">
        <w:rPr>
          <w:rFonts w:ascii="Times New Roman" w:hAnsi="Times New Roman"/>
          <w:b/>
          <w:spacing w:val="2"/>
          <w:sz w:val="28"/>
          <w:szCs w:val="28"/>
          <w:lang w:val="en-US"/>
        </w:rPr>
        <w:t xml:space="preserve"> A is increased. In 2 times terms of liquidation of the sharp inflammatory phenomena are reduced.</w:t>
      </w: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4262A">
        <w:rPr>
          <w:rFonts w:ascii="Times New Roman" w:hAnsi="Times New Roman"/>
          <w:b/>
          <w:bCs/>
          <w:sz w:val="28"/>
          <w:szCs w:val="28"/>
          <w:lang w:val="en-US"/>
        </w:rPr>
        <w:t>Key words:</w:t>
      </w:r>
      <w:r w:rsidRPr="0024262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4262A">
        <w:rPr>
          <w:rFonts w:ascii="Times New Roman" w:hAnsi="Times New Roman"/>
          <w:i/>
          <w:sz w:val="28"/>
          <w:szCs w:val="28"/>
          <w:lang w:val="en-US"/>
        </w:rPr>
        <w:t>Imudon</w:t>
      </w:r>
      <w:proofErr w:type="spellEnd"/>
      <w:r w:rsidRPr="0024262A">
        <w:rPr>
          <w:rFonts w:ascii="Times New Roman" w:hAnsi="Times New Roman"/>
          <w:i/>
          <w:sz w:val="28"/>
          <w:szCs w:val="28"/>
          <w:lang w:val="en-US"/>
        </w:rPr>
        <w:t>, treatment of an aggravation chronic periodontitis, parameters of local immunity.</w:t>
      </w: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  <w:r w:rsidRPr="0024262A">
        <w:rPr>
          <w:rFonts w:ascii="Times New Roman" w:hAnsi="Times New Roman"/>
          <w:spacing w:val="2"/>
          <w:sz w:val="28"/>
          <w:szCs w:val="28"/>
        </w:rPr>
        <w:t xml:space="preserve">При </w:t>
      </w:r>
      <w:proofErr w:type="gramStart"/>
      <w:r w:rsidRPr="0024262A">
        <w:rPr>
          <w:rFonts w:ascii="Times New Roman" w:hAnsi="Times New Roman"/>
          <w:spacing w:val="2"/>
          <w:sz w:val="28"/>
          <w:szCs w:val="28"/>
        </w:rPr>
        <w:t>хроническом</w:t>
      </w:r>
      <w:proofErr w:type="gramEnd"/>
      <w:r w:rsidRPr="0024262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24262A">
        <w:rPr>
          <w:rFonts w:ascii="Times New Roman" w:hAnsi="Times New Roman"/>
          <w:spacing w:val="2"/>
          <w:sz w:val="28"/>
          <w:szCs w:val="28"/>
        </w:rPr>
        <w:t>генерализованном</w:t>
      </w:r>
      <w:proofErr w:type="spellEnd"/>
      <w:r w:rsidRPr="0024262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24262A">
        <w:rPr>
          <w:rFonts w:ascii="Times New Roman" w:hAnsi="Times New Roman"/>
          <w:spacing w:val="2"/>
          <w:sz w:val="28"/>
          <w:szCs w:val="28"/>
        </w:rPr>
        <w:t>пародонтите</w:t>
      </w:r>
      <w:proofErr w:type="spellEnd"/>
      <w:r w:rsidRPr="0024262A">
        <w:rPr>
          <w:rFonts w:ascii="Times New Roman" w:hAnsi="Times New Roman"/>
          <w:spacing w:val="2"/>
          <w:sz w:val="28"/>
          <w:szCs w:val="28"/>
        </w:rPr>
        <w:t xml:space="preserve"> ослабляется местный иммунитет и снижается сопротивляемо</w:t>
      </w:r>
      <w:r w:rsidR="0024262A">
        <w:rPr>
          <w:rFonts w:ascii="Times New Roman" w:hAnsi="Times New Roman"/>
          <w:spacing w:val="2"/>
          <w:sz w:val="28"/>
          <w:szCs w:val="28"/>
        </w:rPr>
        <w:t>сть к инфекции тканей пародонта</w:t>
      </w:r>
      <w:r w:rsidRPr="0024262A">
        <w:rPr>
          <w:rFonts w:ascii="Times New Roman" w:hAnsi="Times New Roman"/>
          <w:spacing w:val="2"/>
          <w:sz w:val="28"/>
          <w:szCs w:val="28"/>
        </w:rPr>
        <w:t xml:space="preserve">. Поэтому лечебные мероприятия у таких больных должны быть направлены не только на ликвидацию клинических симптомов воспаления, но и на усиление факторов местной иммунной защиты. </w:t>
      </w:r>
      <w:proofErr w:type="spellStart"/>
      <w:r w:rsidRPr="0024262A">
        <w:rPr>
          <w:rFonts w:ascii="Times New Roman" w:hAnsi="Times New Roman"/>
          <w:spacing w:val="2"/>
          <w:sz w:val="28"/>
          <w:szCs w:val="28"/>
        </w:rPr>
        <w:t>Иммунокорректор</w:t>
      </w:r>
      <w:proofErr w:type="spellEnd"/>
      <w:r w:rsidRPr="0024262A">
        <w:rPr>
          <w:rFonts w:ascii="Times New Roman" w:hAnsi="Times New Roman"/>
          <w:spacing w:val="2"/>
          <w:sz w:val="28"/>
          <w:szCs w:val="28"/>
        </w:rPr>
        <w:t xml:space="preserve"> «</w:t>
      </w:r>
      <w:proofErr w:type="spellStart"/>
      <w:r w:rsidRPr="0024262A">
        <w:rPr>
          <w:rFonts w:ascii="Times New Roman" w:hAnsi="Times New Roman"/>
          <w:spacing w:val="2"/>
          <w:sz w:val="28"/>
          <w:szCs w:val="28"/>
        </w:rPr>
        <w:t>Имудон</w:t>
      </w:r>
      <w:proofErr w:type="spellEnd"/>
      <w:r w:rsidRPr="0024262A">
        <w:rPr>
          <w:rFonts w:ascii="Times New Roman" w:hAnsi="Times New Roman"/>
          <w:spacing w:val="2"/>
          <w:sz w:val="28"/>
          <w:szCs w:val="28"/>
        </w:rPr>
        <w:t>» («</w:t>
      </w:r>
      <w:proofErr w:type="spellStart"/>
      <w:r w:rsidRPr="0024262A">
        <w:rPr>
          <w:rFonts w:ascii="Times New Roman" w:hAnsi="Times New Roman"/>
          <w:spacing w:val="2"/>
          <w:sz w:val="28"/>
          <w:szCs w:val="28"/>
          <w:lang w:val="en-US"/>
        </w:rPr>
        <w:t>Solvey</w:t>
      </w:r>
      <w:proofErr w:type="spellEnd"/>
      <w:r w:rsidRPr="0024262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24262A">
        <w:rPr>
          <w:rFonts w:ascii="Times New Roman" w:hAnsi="Times New Roman"/>
          <w:spacing w:val="2"/>
          <w:sz w:val="28"/>
          <w:szCs w:val="28"/>
          <w:lang w:val="en-US"/>
        </w:rPr>
        <w:t>Pharma</w:t>
      </w:r>
      <w:proofErr w:type="spellEnd"/>
      <w:r w:rsidRPr="0024262A">
        <w:rPr>
          <w:rFonts w:ascii="Times New Roman" w:hAnsi="Times New Roman"/>
          <w:spacing w:val="2"/>
          <w:sz w:val="28"/>
          <w:szCs w:val="28"/>
        </w:rPr>
        <w:t>», регистрационный номер П</w:t>
      </w:r>
      <w:r w:rsidRPr="0024262A">
        <w:rPr>
          <w:rFonts w:ascii="Times New Roman" w:hAnsi="Times New Roman"/>
          <w:spacing w:val="2"/>
          <w:sz w:val="28"/>
          <w:szCs w:val="28"/>
        </w:rPr>
        <w:softHyphen/>
        <w:t>8</w:t>
      </w:r>
      <w:r w:rsidRPr="0024262A">
        <w:rPr>
          <w:rFonts w:ascii="Times New Roman" w:hAnsi="Times New Roman"/>
          <w:spacing w:val="2"/>
          <w:sz w:val="28"/>
          <w:szCs w:val="28"/>
        </w:rPr>
        <w:softHyphen/>
        <w:t>242</w:t>
      </w:r>
      <w:r w:rsidRPr="0024262A">
        <w:rPr>
          <w:rFonts w:ascii="Times New Roman" w:hAnsi="Times New Roman"/>
          <w:spacing w:val="2"/>
          <w:sz w:val="28"/>
          <w:szCs w:val="28"/>
        </w:rPr>
        <w:softHyphen/>
        <w:t xml:space="preserve">№ 009497) содержит смесь </w:t>
      </w:r>
      <w:proofErr w:type="spellStart"/>
      <w:r w:rsidRPr="0024262A">
        <w:rPr>
          <w:rFonts w:ascii="Times New Roman" w:hAnsi="Times New Roman"/>
          <w:spacing w:val="2"/>
          <w:sz w:val="28"/>
          <w:szCs w:val="28"/>
        </w:rPr>
        <w:t>лизатов</w:t>
      </w:r>
      <w:proofErr w:type="spellEnd"/>
      <w:r w:rsidRPr="0024262A">
        <w:rPr>
          <w:rFonts w:ascii="Times New Roman" w:hAnsi="Times New Roman"/>
          <w:spacing w:val="2"/>
          <w:sz w:val="28"/>
          <w:szCs w:val="28"/>
        </w:rPr>
        <w:t xml:space="preserve"> 14 бактерий и является поливалентным антигенным комплексом. Этот препарат при местном применении хорошо зарекомендовал себя</w:t>
      </w:r>
      <w:r w:rsidR="0024262A">
        <w:rPr>
          <w:rFonts w:ascii="Times New Roman" w:hAnsi="Times New Roman"/>
          <w:spacing w:val="2"/>
          <w:sz w:val="28"/>
          <w:szCs w:val="28"/>
        </w:rPr>
        <w:t xml:space="preserve"> в </w:t>
      </w:r>
      <w:proofErr w:type="spellStart"/>
      <w:r w:rsidR="0024262A">
        <w:rPr>
          <w:rFonts w:ascii="Times New Roman" w:hAnsi="Times New Roman"/>
          <w:spacing w:val="2"/>
          <w:sz w:val="28"/>
          <w:szCs w:val="28"/>
        </w:rPr>
        <w:t>пародонтологической</w:t>
      </w:r>
      <w:proofErr w:type="spellEnd"/>
      <w:r w:rsidR="0024262A">
        <w:rPr>
          <w:rFonts w:ascii="Times New Roman" w:hAnsi="Times New Roman"/>
          <w:spacing w:val="2"/>
          <w:sz w:val="28"/>
          <w:szCs w:val="28"/>
        </w:rPr>
        <w:t xml:space="preserve"> практике</w:t>
      </w:r>
      <w:r w:rsidRPr="0024262A">
        <w:rPr>
          <w:rFonts w:ascii="Times New Roman" w:hAnsi="Times New Roman"/>
          <w:spacing w:val="2"/>
          <w:sz w:val="28"/>
          <w:szCs w:val="28"/>
        </w:rPr>
        <w:t>. Клинические исследования показали высокую эффективность «</w:t>
      </w:r>
      <w:proofErr w:type="spellStart"/>
      <w:r w:rsidRPr="0024262A">
        <w:rPr>
          <w:rFonts w:ascii="Times New Roman" w:hAnsi="Times New Roman"/>
          <w:spacing w:val="2"/>
          <w:sz w:val="28"/>
          <w:szCs w:val="28"/>
        </w:rPr>
        <w:t>Имудона</w:t>
      </w:r>
      <w:proofErr w:type="spellEnd"/>
      <w:r w:rsidRPr="0024262A">
        <w:rPr>
          <w:rFonts w:ascii="Times New Roman" w:hAnsi="Times New Roman"/>
          <w:spacing w:val="2"/>
          <w:sz w:val="28"/>
          <w:szCs w:val="28"/>
        </w:rPr>
        <w:t xml:space="preserve">» в лечении хронического </w:t>
      </w:r>
      <w:proofErr w:type="spellStart"/>
      <w:r w:rsidRPr="0024262A">
        <w:rPr>
          <w:rFonts w:ascii="Times New Roman" w:hAnsi="Times New Roman"/>
          <w:spacing w:val="2"/>
          <w:sz w:val="28"/>
          <w:szCs w:val="28"/>
        </w:rPr>
        <w:t>генерализованного</w:t>
      </w:r>
      <w:proofErr w:type="spellEnd"/>
      <w:r w:rsidRPr="0024262A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24262A">
        <w:rPr>
          <w:rFonts w:ascii="Times New Roman" w:hAnsi="Times New Roman"/>
          <w:spacing w:val="2"/>
          <w:sz w:val="28"/>
          <w:szCs w:val="28"/>
        </w:rPr>
        <w:t>пародонти</w:t>
      </w:r>
      <w:r w:rsidR="0024262A">
        <w:rPr>
          <w:rFonts w:ascii="Times New Roman" w:hAnsi="Times New Roman"/>
          <w:spacing w:val="2"/>
          <w:sz w:val="28"/>
          <w:szCs w:val="28"/>
        </w:rPr>
        <w:t>та</w:t>
      </w:r>
      <w:proofErr w:type="spellEnd"/>
      <w:r w:rsidR="0024262A">
        <w:rPr>
          <w:rFonts w:ascii="Times New Roman" w:hAnsi="Times New Roman"/>
          <w:spacing w:val="2"/>
          <w:sz w:val="28"/>
          <w:szCs w:val="28"/>
        </w:rPr>
        <w:t xml:space="preserve"> (ХГП) разной степени тяжести</w:t>
      </w:r>
      <w:r w:rsidRPr="0024262A">
        <w:rPr>
          <w:rFonts w:ascii="Times New Roman" w:hAnsi="Times New Roman"/>
          <w:spacing w:val="2"/>
          <w:sz w:val="28"/>
          <w:szCs w:val="28"/>
        </w:rPr>
        <w:t>. Вместе с тем, мало информации о влиянии «</w:t>
      </w:r>
      <w:proofErr w:type="spellStart"/>
      <w:r w:rsidRPr="0024262A">
        <w:rPr>
          <w:rFonts w:ascii="Times New Roman" w:hAnsi="Times New Roman"/>
          <w:spacing w:val="2"/>
          <w:sz w:val="28"/>
          <w:szCs w:val="28"/>
        </w:rPr>
        <w:t>Имудона</w:t>
      </w:r>
      <w:proofErr w:type="spellEnd"/>
      <w:r w:rsidRPr="0024262A">
        <w:rPr>
          <w:rFonts w:ascii="Times New Roman" w:hAnsi="Times New Roman"/>
          <w:spacing w:val="2"/>
          <w:sz w:val="28"/>
          <w:szCs w:val="28"/>
        </w:rPr>
        <w:t>» на воспалительный процесс в тканях пародонта при хроническом пародонтите в стадии обострения.</w:t>
      </w: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62A">
        <w:rPr>
          <w:rFonts w:ascii="Times New Roman" w:hAnsi="Times New Roman"/>
          <w:b/>
          <w:bCs/>
          <w:sz w:val="28"/>
          <w:szCs w:val="28"/>
        </w:rPr>
        <w:t>Целью</w:t>
      </w:r>
      <w:r w:rsidRPr="0024262A">
        <w:rPr>
          <w:rFonts w:ascii="Times New Roman" w:hAnsi="Times New Roman"/>
          <w:sz w:val="28"/>
          <w:szCs w:val="28"/>
        </w:rPr>
        <w:t xml:space="preserve"> работы явилась клиническая и лабораторная оценка эффективности применения препарата «</w:t>
      </w:r>
      <w:proofErr w:type="spellStart"/>
      <w:r w:rsidRPr="0024262A">
        <w:rPr>
          <w:rFonts w:ascii="Times New Roman" w:hAnsi="Times New Roman"/>
          <w:sz w:val="28"/>
          <w:szCs w:val="28"/>
        </w:rPr>
        <w:t>Имудон</w:t>
      </w:r>
      <w:proofErr w:type="spellEnd"/>
      <w:r w:rsidRPr="0024262A">
        <w:rPr>
          <w:rFonts w:ascii="Times New Roman" w:hAnsi="Times New Roman"/>
          <w:sz w:val="28"/>
          <w:szCs w:val="28"/>
        </w:rPr>
        <w:t>» в составе комплексного лечения ХГП в стадии обострения.</w:t>
      </w: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62A">
        <w:rPr>
          <w:rFonts w:ascii="Times New Roman" w:hAnsi="Times New Roman"/>
          <w:sz w:val="28"/>
          <w:szCs w:val="28"/>
        </w:rPr>
        <w:t>Материал и методы</w:t>
      </w: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  <w:r w:rsidRPr="0024262A">
        <w:rPr>
          <w:rFonts w:ascii="Times New Roman" w:hAnsi="Times New Roman"/>
          <w:spacing w:val="2"/>
          <w:sz w:val="28"/>
          <w:szCs w:val="28"/>
        </w:rPr>
        <w:t>В</w:t>
      </w:r>
      <w:r w:rsidRPr="0024262A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24262A">
        <w:rPr>
          <w:rFonts w:ascii="Times New Roman" w:hAnsi="Times New Roman"/>
          <w:spacing w:val="2"/>
          <w:sz w:val="28"/>
          <w:szCs w:val="28"/>
        </w:rPr>
        <w:t xml:space="preserve">исследовании участвовали добровольцы – 44  больных с ХГП средней степени тяжести в стадии обострения воспалительного процесса (17 мужчин и 27 женщин в возрасте от 33 до 57 лет, основная группа), проходивших лечение на кафедре пародонтологии ТГМА. Кроме того, были обследованы 15  практически здоровых добровольцев (4 мужчин и 11 женщин 29–50 лет, группа сравнения). Все пациенты с обострением ХГП были выделены в две подгруппы: «А» – 22 больных получали стандартное комплексное </w:t>
      </w:r>
      <w:proofErr w:type="spellStart"/>
      <w:r w:rsidRPr="0024262A">
        <w:rPr>
          <w:rFonts w:ascii="Times New Roman" w:hAnsi="Times New Roman"/>
          <w:spacing w:val="2"/>
          <w:sz w:val="28"/>
          <w:szCs w:val="28"/>
        </w:rPr>
        <w:t>пародонтологическое</w:t>
      </w:r>
      <w:proofErr w:type="spellEnd"/>
      <w:r w:rsidRPr="0024262A">
        <w:rPr>
          <w:rFonts w:ascii="Times New Roman" w:hAnsi="Times New Roman"/>
          <w:spacing w:val="2"/>
          <w:sz w:val="28"/>
          <w:szCs w:val="28"/>
        </w:rPr>
        <w:t xml:space="preserve"> лечение без использования хирургических методов и «</w:t>
      </w:r>
      <w:proofErr w:type="spellStart"/>
      <w:r w:rsidRPr="0024262A">
        <w:rPr>
          <w:rFonts w:ascii="Times New Roman" w:hAnsi="Times New Roman"/>
          <w:spacing w:val="2"/>
          <w:sz w:val="28"/>
          <w:szCs w:val="28"/>
        </w:rPr>
        <w:t>Имудона</w:t>
      </w:r>
      <w:proofErr w:type="spellEnd"/>
      <w:r w:rsidRPr="0024262A">
        <w:rPr>
          <w:rFonts w:ascii="Times New Roman" w:hAnsi="Times New Roman"/>
          <w:spacing w:val="2"/>
          <w:sz w:val="28"/>
          <w:szCs w:val="28"/>
        </w:rPr>
        <w:t>»; «В» – 22 больных получали помимо такого же стандартного лечения «</w:t>
      </w:r>
      <w:proofErr w:type="spellStart"/>
      <w:r w:rsidRPr="0024262A">
        <w:rPr>
          <w:rFonts w:ascii="Times New Roman" w:hAnsi="Times New Roman"/>
          <w:spacing w:val="2"/>
          <w:sz w:val="28"/>
          <w:szCs w:val="28"/>
        </w:rPr>
        <w:t>Имудон</w:t>
      </w:r>
      <w:proofErr w:type="spellEnd"/>
      <w:r w:rsidRPr="0024262A">
        <w:rPr>
          <w:rFonts w:ascii="Times New Roman" w:hAnsi="Times New Roman"/>
          <w:spacing w:val="2"/>
          <w:sz w:val="28"/>
          <w:szCs w:val="28"/>
        </w:rPr>
        <w:t>» в виде таблеток для рассасывания 6 раз в день в течение 20 дней.</w:t>
      </w: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62A">
        <w:rPr>
          <w:rFonts w:ascii="Times New Roman" w:hAnsi="Times New Roman"/>
          <w:sz w:val="28"/>
          <w:szCs w:val="28"/>
        </w:rPr>
        <w:t>Лабораторное и клиническое обследование больных проводили в начале и конце лечения (через 1 месяц). Для оценки гигиенического состояния полости рта и тканей пародонта использовали компьютерную диагностическую систему «</w:t>
      </w:r>
      <w:r w:rsidRPr="0024262A">
        <w:rPr>
          <w:rFonts w:ascii="Times New Roman" w:hAnsi="Times New Roman"/>
          <w:sz w:val="28"/>
          <w:szCs w:val="28"/>
          <w:lang w:val="en-US"/>
        </w:rPr>
        <w:t>Florida</w:t>
      </w:r>
      <w:r w:rsidRPr="0024262A">
        <w:rPr>
          <w:rFonts w:ascii="Times New Roman" w:hAnsi="Times New Roman"/>
          <w:sz w:val="28"/>
          <w:szCs w:val="28"/>
        </w:rPr>
        <w:t xml:space="preserve"> </w:t>
      </w:r>
      <w:r w:rsidRPr="0024262A">
        <w:rPr>
          <w:rFonts w:ascii="Times New Roman" w:hAnsi="Times New Roman"/>
          <w:sz w:val="28"/>
          <w:szCs w:val="28"/>
          <w:lang w:val="en-US"/>
        </w:rPr>
        <w:t>probe</w:t>
      </w:r>
      <w:r w:rsidRPr="0024262A">
        <w:rPr>
          <w:rFonts w:ascii="Times New Roman" w:hAnsi="Times New Roman"/>
          <w:sz w:val="28"/>
          <w:szCs w:val="28"/>
        </w:rPr>
        <w:t xml:space="preserve">», позволяющую получать целый ряд данных о состоянии тканей пародонта: количестве </w:t>
      </w:r>
      <w:proofErr w:type="spellStart"/>
      <w:r w:rsidRPr="0024262A">
        <w:rPr>
          <w:rFonts w:ascii="Times New Roman" w:hAnsi="Times New Roman"/>
          <w:sz w:val="28"/>
          <w:szCs w:val="28"/>
        </w:rPr>
        <w:t>наддесневого</w:t>
      </w:r>
      <w:proofErr w:type="spellEnd"/>
      <w:r w:rsidRPr="0024262A">
        <w:rPr>
          <w:rFonts w:ascii="Times New Roman" w:hAnsi="Times New Roman"/>
          <w:sz w:val="28"/>
          <w:szCs w:val="28"/>
        </w:rPr>
        <w:t xml:space="preserve"> зубного налета, подвижности зубов, глубине </w:t>
      </w:r>
      <w:proofErr w:type="spellStart"/>
      <w:r w:rsidRPr="0024262A">
        <w:rPr>
          <w:rFonts w:ascii="Times New Roman" w:hAnsi="Times New Roman"/>
          <w:sz w:val="28"/>
          <w:szCs w:val="28"/>
        </w:rPr>
        <w:t>пародонтальных</w:t>
      </w:r>
      <w:proofErr w:type="spellEnd"/>
      <w:r w:rsidRPr="0024262A">
        <w:rPr>
          <w:rFonts w:ascii="Times New Roman" w:hAnsi="Times New Roman"/>
          <w:sz w:val="28"/>
          <w:szCs w:val="28"/>
        </w:rPr>
        <w:t xml:space="preserve"> карманов, степени кровоточивости и рецессии десны, экссудации из карманов и др. По результатам обследования рассчитывали клинические индексы.</w:t>
      </w: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24262A">
        <w:rPr>
          <w:rFonts w:ascii="Times New Roman" w:hAnsi="Times New Roman"/>
          <w:spacing w:val="1"/>
          <w:sz w:val="28"/>
          <w:szCs w:val="28"/>
        </w:rPr>
        <w:t xml:space="preserve">В рамках лабораторного исследования в смывах из полости рта и в </w:t>
      </w:r>
      <w:proofErr w:type="spellStart"/>
      <w:r w:rsidRPr="0024262A">
        <w:rPr>
          <w:rFonts w:ascii="Times New Roman" w:hAnsi="Times New Roman"/>
          <w:spacing w:val="1"/>
          <w:sz w:val="28"/>
          <w:szCs w:val="28"/>
        </w:rPr>
        <w:t>десневой</w:t>
      </w:r>
      <w:proofErr w:type="spellEnd"/>
      <w:r w:rsidRPr="0024262A">
        <w:rPr>
          <w:rFonts w:ascii="Times New Roman" w:hAnsi="Times New Roman"/>
          <w:spacing w:val="1"/>
          <w:sz w:val="28"/>
          <w:szCs w:val="28"/>
        </w:rPr>
        <w:t xml:space="preserve"> жидкости оценивали количество лейкоцитов (Л), определяли фагоцитарную (</w:t>
      </w:r>
      <w:proofErr w:type="gramStart"/>
      <w:r w:rsidRPr="0024262A">
        <w:rPr>
          <w:rFonts w:ascii="Times New Roman" w:hAnsi="Times New Roman"/>
          <w:spacing w:val="1"/>
          <w:sz w:val="28"/>
          <w:szCs w:val="28"/>
        </w:rPr>
        <w:t>ФАН</w:t>
      </w:r>
      <w:proofErr w:type="gramEnd"/>
      <w:r w:rsidRPr="0024262A">
        <w:rPr>
          <w:rFonts w:ascii="Times New Roman" w:hAnsi="Times New Roman"/>
          <w:spacing w:val="1"/>
          <w:sz w:val="28"/>
          <w:szCs w:val="28"/>
        </w:rPr>
        <w:t xml:space="preserve">) и адгезивную активность нейтрофилов (ААН). В ротовой жидкости оценивали содержание секреторного иммуноглобулина </w:t>
      </w:r>
      <w:r w:rsidRPr="0024262A">
        <w:rPr>
          <w:rFonts w:ascii="Times New Roman" w:hAnsi="Times New Roman"/>
          <w:spacing w:val="1"/>
          <w:sz w:val="28"/>
          <w:szCs w:val="28"/>
          <w:lang w:val="en-US"/>
        </w:rPr>
        <w:t>A</w:t>
      </w:r>
      <w:r w:rsidRPr="0024262A">
        <w:rPr>
          <w:rFonts w:ascii="Times New Roman" w:hAnsi="Times New Roman"/>
          <w:spacing w:val="1"/>
          <w:sz w:val="28"/>
          <w:szCs w:val="28"/>
        </w:rPr>
        <w:t xml:space="preserve"> (</w:t>
      </w:r>
      <w:proofErr w:type="spellStart"/>
      <w:r w:rsidRPr="0024262A">
        <w:rPr>
          <w:rFonts w:ascii="Times New Roman" w:hAnsi="Times New Roman"/>
          <w:spacing w:val="1"/>
          <w:sz w:val="28"/>
          <w:szCs w:val="28"/>
          <w:vertAlign w:val="subscript"/>
          <w:lang w:val="en-US"/>
        </w:rPr>
        <w:t>s</w:t>
      </w:r>
      <w:r w:rsidRPr="0024262A">
        <w:rPr>
          <w:rFonts w:ascii="Times New Roman" w:hAnsi="Times New Roman"/>
          <w:spacing w:val="1"/>
          <w:sz w:val="28"/>
          <w:szCs w:val="28"/>
          <w:lang w:val="en-US"/>
        </w:rPr>
        <w:t>IgA</w:t>
      </w:r>
      <w:proofErr w:type="spellEnd"/>
      <w:r w:rsidRPr="0024262A">
        <w:rPr>
          <w:rFonts w:ascii="Times New Roman" w:hAnsi="Times New Roman"/>
          <w:spacing w:val="1"/>
          <w:sz w:val="28"/>
          <w:szCs w:val="28"/>
        </w:rPr>
        <w:t xml:space="preserve">). Определение количества клеток в промывной жидкости проводили после ее </w:t>
      </w:r>
      <w:proofErr w:type="spellStart"/>
      <w:r w:rsidRPr="0024262A">
        <w:rPr>
          <w:rFonts w:ascii="Times New Roman" w:hAnsi="Times New Roman"/>
          <w:spacing w:val="1"/>
          <w:sz w:val="28"/>
          <w:szCs w:val="28"/>
        </w:rPr>
        <w:t>ресуспензирования</w:t>
      </w:r>
      <w:proofErr w:type="spellEnd"/>
      <w:r w:rsidRPr="0024262A">
        <w:rPr>
          <w:rFonts w:ascii="Times New Roman" w:hAnsi="Times New Roman"/>
          <w:spacing w:val="1"/>
          <w:sz w:val="28"/>
          <w:szCs w:val="28"/>
        </w:rPr>
        <w:t xml:space="preserve">, подсчитывали количество нейтрофилов и эпителиальных клеток в камере Горяева в 100 больших квадратах. Фагоцитарную и </w:t>
      </w:r>
      <w:proofErr w:type="spellStart"/>
      <w:r w:rsidRPr="0024262A">
        <w:rPr>
          <w:rFonts w:ascii="Times New Roman" w:hAnsi="Times New Roman"/>
          <w:spacing w:val="1"/>
          <w:sz w:val="28"/>
          <w:szCs w:val="28"/>
        </w:rPr>
        <w:t>адгезивную</w:t>
      </w:r>
      <w:proofErr w:type="spellEnd"/>
      <w:r w:rsidRPr="0024262A">
        <w:rPr>
          <w:rFonts w:ascii="Times New Roman" w:hAnsi="Times New Roman"/>
          <w:spacing w:val="1"/>
          <w:sz w:val="28"/>
          <w:szCs w:val="28"/>
        </w:rPr>
        <w:t xml:space="preserve"> активность нейтрофилов смыва определяли в тесте с клетками пекарских дрожжей (</w:t>
      </w:r>
      <w:proofErr w:type="spellStart"/>
      <w:r w:rsidRPr="0024262A">
        <w:rPr>
          <w:rFonts w:ascii="Times New Roman" w:hAnsi="Times New Roman"/>
          <w:i/>
          <w:iCs/>
          <w:spacing w:val="1"/>
          <w:sz w:val="28"/>
          <w:szCs w:val="28"/>
          <w:lang w:val="en-US"/>
        </w:rPr>
        <w:t>Sacharomyces</w:t>
      </w:r>
      <w:proofErr w:type="spellEnd"/>
      <w:r w:rsidRPr="0024262A">
        <w:rPr>
          <w:rFonts w:ascii="Times New Roman" w:hAnsi="Times New Roman"/>
          <w:i/>
          <w:iCs/>
          <w:spacing w:val="1"/>
          <w:sz w:val="28"/>
          <w:szCs w:val="28"/>
        </w:rPr>
        <w:t xml:space="preserve"> </w:t>
      </w:r>
      <w:proofErr w:type="gramStart"/>
      <w:r w:rsidRPr="0024262A">
        <w:rPr>
          <w:rFonts w:ascii="Times New Roman" w:hAnsi="Times New Roman"/>
          <w:i/>
          <w:iCs/>
          <w:spacing w:val="1"/>
          <w:sz w:val="28"/>
          <w:szCs w:val="28"/>
        </w:rPr>
        <w:t>се</w:t>
      </w:r>
      <w:proofErr w:type="gramEnd"/>
      <w:r w:rsidRPr="0024262A">
        <w:rPr>
          <w:rFonts w:ascii="Times New Roman" w:hAnsi="Times New Roman"/>
          <w:i/>
          <w:iCs/>
          <w:spacing w:val="1"/>
          <w:sz w:val="28"/>
          <w:szCs w:val="28"/>
          <w:lang w:val="en-US"/>
        </w:rPr>
        <w:t>r</w:t>
      </w:r>
      <w:r w:rsidRPr="0024262A"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proofErr w:type="spellStart"/>
      <w:r w:rsidRPr="0024262A">
        <w:rPr>
          <w:rFonts w:ascii="Times New Roman" w:hAnsi="Times New Roman"/>
          <w:i/>
          <w:iCs/>
          <w:spacing w:val="1"/>
          <w:sz w:val="28"/>
          <w:szCs w:val="28"/>
          <w:lang w:val="en-US"/>
        </w:rPr>
        <w:t>visiae</w:t>
      </w:r>
      <w:proofErr w:type="spellEnd"/>
      <w:r w:rsidRPr="0024262A">
        <w:rPr>
          <w:rFonts w:ascii="Times New Roman" w:hAnsi="Times New Roman"/>
          <w:spacing w:val="1"/>
          <w:sz w:val="28"/>
          <w:szCs w:val="28"/>
        </w:rPr>
        <w:t xml:space="preserve">). Определение </w:t>
      </w:r>
      <w:proofErr w:type="spellStart"/>
      <w:r w:rsidRPr="0024262A">
        <w:rPr>
          <w:rFonts w:ascii="Times New Roman" w:hAnsi="Times New Roman"/>
          <w:spacing w:val="1"/>
          <w:sz w:val="28"/>
          <w:szCs w:val="28"/>
          <w:vertAlign w:val="subscript"/>
          <w:lang w:val="en-US"/>
        </w:rPr>
        <w:t>s</w:t>
      </w:r>
      <w:r w:rsidRPr="0024262A">
        <w:rPr>
          <w:rFonts w:ascii="Times New Roman" w:hAnsi="Times New Roman"/>
          <w:spacing w:val="1"/>
          <w:sz w:val="28"/>
          <w:szCs w:val="28"/>
          <w:lang w:val="en-US"/>
        </w:rPr>
        <w:t>IgA</w:t>
      </w:r>
      <w:proofErr w:type="spellEnd"/>
      <w:r w:rsidRPr="0024262A">
        <w:rPr>
          <w:rFonts w:ascii="Times New Roman" w:hAnsi="Times New Roman"/>
          <w:spacing w:val="1"/>
          <w:sz w:val="28"/>
          <w:szCs w:val="28"/>
        </w:rPr>
        <w:t xml:space="preserve"> в ротовой жидкости осуществляли методом иммуноферментного анализа (ИФА) и </w:t>
      </w:r>
      <w:proofErr w:type="spellStart"/>
      <w:r w:rsidRPr="0024262A">
        <w:rPr>
          <w:rFonts w:ascii="Times New Roman" w:hAnsi="Times New Roman"/>
          <w:spacing w:val="1"/>
          <w:sz w:val="28"/>
          <w:szCs w:val="28"/>
        </w:rPr>
        <w:t>тест</w:t>
      </w:r>
      <w:r w:rsidRPr="0024262A">
        <w:rPr>
          <w:rFonts w:ascii="Times New Roman" w:hAnsi="Times New Roman"/>
          <w:spacing w:val="1"/>
          <w:sz w:val="28"/>
          <w:szCs w:val="28"/>
        </w:rPr>
        <w:softHyphen/>
        <w:t>системы</w:t>
      </w:r>
      <w:proofErr w:type="spellEnd"/>
      <w:r w:rsidRPr="0024262A">
        <w:rPr>
          <w:rFonts w:ascii="Times New Roman" w:hAnsi="Times New Roman"/>
          <w:spacing w:val="1"/>
          <w:sz w:val="28"/>
          <w:szCs w:val="28"/>
        </w:rPr>
        <w:t xml:space="preserve"> «</w:t>
      </w:r>
      <w:proofErr w:type="spellStart"/>
      <w:proofErr w:type="gramStart"/>
      <w:r w:rsidRPr="0024262A">
        <w:rPr>
          <w:rFonts w:ascii="Times New Roman" w:hAnsi="Times New Roman"/>
          <w:spacing w:val="1"/>
          <w:sz w:val="28"/>
          <w:szCs w:val="28"/>
          <w:vertAlign w:val="subscript"/>
          <w:lang w:val="en-US"/>
        </w:rPr>
        <w:t>s</w:t>
      </w:r>
      <w:r w:rsidRPr="0024262A">
        <w:rPr>
          <w:rFonts w:ascii="Times New Roman" w:hAnsi="Times New Roman"/>
          <w:spacing w:val="1"/>
          <w:sz w:val="28"/>
          <w:szCs w:val="28"/>
          <w:lang w:val="en-US"/>
        </w:rPr>
        <w:t>IgA</w:t>
      </w:r>
      <w:proofErr w:type="spellEnd"/>
      <w:r w:rsidRPr="0024262A">
        <w:rPr>
          <w:rFonts w:ascii="Times New Roman" w:hAnsi="Times New Roman"/>
          <w:spacing w:val="1"/>
          <w:sz w:val="28"/>
          <w:szCs w:val="28"/>
        </w:rPr>
        <w:softHyphen/>
      </w:r>
      <w:proofErr w:type="spellStart"/>
      <w:proofErr w:type="gramEnd"/>
      <w:r w:rsidRPr="0024262A">
        <w:rPr>
          <w:rFonts w:ascii="Times New Roman" w:hAnsi="Times New Roman"/>
          <w:spacing w:val="1"/>
          <w:sz w:val="28"/>
          <w:szCs w:val="28"/>
        </w:rPr>
        <w:t>ИФА</w:t>
      </w:r>
      <w:r w:rsidRPr="0024262A">
        <w:rPr>
          <w:rFonts w:ascii="Times New Roman" w:hAnsi="Times New Roman"/>
          <w:spacing w:val="1"/>
          <w:sz w:val="28"/>
          <w:szCs w:val="28"/>
        </w:rPr>
        <w:softHyphen/>
        <w:t>БЕСТ</w:t>
      </w:r>
      <w:r w:rsidRPr="0024262A">
        <w:rPr>
          <w:rFonts w:ascii="Times New Roman" w:hAnsi="Times New Roman"/>
          <w:spacing w:val="1"/>
          <w:sz w:val="28"/>
          <w:szCs w:val="28"/>
        </w:rPr>
        <w:softHyphen/>
        <w:t>стрип</w:t>
      </w:r>
      <w:proofErr w:type="spellEnd"/>
      <w:r w:rsidRPr="0024262A">
        <w:rPr>
          <w:rFonts w:ascii="Times New Roman" w:hAnsi="Times New Roman"/>
          <w:spacing w:val="1"/>
          <w:sz w:val="28"/>
          <w:szCs w:val="28"/>
        </w:rPr>
        <w:t>» («</w:t>
      </w:r>
      <w:proofErr w:type="spellStart"/>
      <w:r w:rsidRPr="0024262A">
        <w:rPr>
          <w:rFonts w:ascii="Times New Roman" w:hAnsi="Times New Roman"/>
          <w:spacing w:val="1"/>
          <w:sz w:val="28"/>
          <w:szCs w:val="28"/>
        </w:rPr>
        <w:t>Вектор­Бест</w:t>
      </w:r>
      <w:proofErr w:type="spellEnd"/>
      <w:r w:rsidRPr="0024262A">
        <w:rPr>
          <w:rFonts w:ascii="Times New Roman" w:hAnsi="Times New Roman"/>
          <w:spacing w:val="1"/>
          <w:sz w:val="28"/>
          <w:szCs w:val="28"/>
        </w:rPr>
        <w:t>», Россия). Результаты регистрировали при помощи планшетного фотометра при длине волны 450 нм и оценивали при помощи калибровочной кривой, которую строили на основании измерения оптической плотности в лунках с калибровочными пробами. Полученные данные обрабатывали статистически с использованием компьютерной программы «</w:t>
      </w:r>
      <w:proofErr w:type="spellStart"/>
      <w:r w:rsidRPr="0024262A">
        <w:rPr>
          <w:rFonts w:ascii="Times New Roman" w:hAnsi="Times New Roman"/>
          <w:spacing w:val="1"/>
          <w:sz w:val="28"/>
          <w:szCs w:val="28"/>
          <w:lang w:val="en-US"/>
        </w:rPr>
        <w:t>Statistica</w:t>
      </w:r>
      <w:proofErr w:type="spellEnd"/>
      <w:r w:rsidRPr="002426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4262A">
        <w:rPr>
          <w:rFonts w:ascii="Times New Roman" w:hAnsi="Times New Roman"/>
          <w:spacing w:val="1"/>
          <w:sz w:val="28"/>
          <w:szCs w:val="28"/>
          <w:lang w:val="en-US"/>
        </w:rPr>
        <w:t>for</w:t>
      </w:r>
      <w:r w:rsidRPr="0024262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4262A">
        <w:rPr>
          <w:rFonts w:ascii="Times New Roman" w:hAnsi="Times New Roman"/>
          <w:spacing w:val="1"/>
          <w:sz w:val="28"/>
          <w:szCs w:val="28"/>
          <w:lang w:val="en-US"/>
        </w:rPr>
        <w:t>Windows</w:t>
      </w:r>
      <w:r w:rsidRPr="0024262A">
        <w:rPr>
          <w:rFonts w:ascii="Times New Roman" w:hAnsi="Times New Roman"/>
          <w:spacing w:val="1"/>
          <w:sz w:val="28"/>
          <w:szCs w:val="28"/>
        </w:rPr>
        <w:t xml:space="preserve"> 6.0».</w:t>
      </w: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62A">
        <w:rPr>
          <w:rFonts w:ascii="Times New Roman" w:hAnsi="Times New Roman"/>
          <w:sz w:val="28"/>
          <w:szCs w:val="28"/>
        </w:rPr>
        <w:t>Результаты исследования</w:t>
      </w: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pacing w:val="1"/>
          <w:sz w:val="28"/>
          <w:szCs w:val="28"/>
        </w:rPr>
      </w:pPr>
      <w:r w:rsidRPr="0024262A">
        <w:rPr>
          <w:rFonts w:ascii="Times New Roman" w:hAnsi="Times New Roman"/>
          <w:spacing w:val="1"/>
          <w:sz w:val="28"/>
          <w:szCs w:val="28"/>
        </w:rPr>
        <w:t xml:space="preserve">Клиническое обследование больных показало у них наличие гиперемии десны и отечности </w:t>
      </w:r>
      <w:proofErr w:type="spellStart"/>
      <w:r w:rsidRPr="0024262A">
        <w:rPr>
          <w:rFonts w:ascii="Times New Roman" w:hAnsi="Times New Roman"/>
          <w:spacing w:val="1"/>
          <w:sz w:val="28"/>
          <w:szCs w:val="28"/>
        </w:rPr>
        <w:t>десневых</w:t>
      </w:r>
      <w:proofErr w:type="spellEnd"/>
      <w:r w:rsidRPr="0024262A">
        <w:rPr>
          <w:rFonts w:ascii="Times New Roman" w:hAnsi="Times New Roman"/>
          <w:spacing w:val="1"/>
          <w:sz w:val="28"/>
          <w:szCs w:val="28"/>
        </w:rPr>
        <w:t xml:space="preserve"> сосочков. Глубина </w:t>
      </w:r>
      <w:proofErr w:type="spellStart"/>
      <w:r w:rsidRPr="0024262A">
        <w:rPr>
          <w:rFonts w:ascii="Times New Roman" w:hAnsi="Times New Roman"/>
          <w:spacing w:val="1"/>
          <w:sz w:val="28"/>
          <w:szCs w:val="28"/>
        </w:rPr>
        <w:t>пародонтальных</w:t>
      </w:r>
      <w:proofErr w:type="spellEnd"/>
      <w:r w:rsidRPr="0024262A">
        <w:rPr>
          <w:rFonts w:ascii="Times New Roman" w:hAnsi="Times New Roman"/>
          <w:spacing w:val="1"/>
          <w:sz w:val="28"/>
          <w:szCs w:val="28"/>
        </w:rPr>
        <w:t xml:space="preserve"> карманов в области разных зубов колебалась от 3,5 до 6 мм. Экссудат в этих карманах был преимущественно </w:t>
      </w:r>
      <w:proofErr w:type="spellStart"/>
      <w:r w:rsidRPr="0024262A">
        <w:rPr>
          <w:rFonts w:ascii="Times New Roman" w:hAnsi="Times New Roman"/>
          <w:spacing w:val="1"/>
          <w:sz w:val="28"/>
          <w:szCs w:val="28"/>
        </w:rPr>
        <w:t>серозно­гнойным</w:t>
      </w:r>
      <w:proofErr w:type="spellEnd"/>
      <w:r w:rsidRPr="0024262A">
        <w:rPr>
          <w:rFonts w:ascii="Times New Roman" w:hAnsi="Times New Roman"/>
          <w:spacing w:val="1"/>
          <w:sz w:val="28"/>
          <w:szCs w:val="28"/>
        </w:rPr>
        <w:t xml:space="preserve">. Часть зубов была подвижна в </w:t>
      </w:r>
      <w:r w:rsidRPr="0024262A">
        <w:rPr>
          <w:rFonts w:ascii="Times New Roman" w:hAnsi="Times New Roman"/>
          <w:spacing w:val="1"/>
          <w:sz w:val="28"/>
          <w:szCs w:val="28"/>
          <w:lang w:val="en-US"/>
        </w:rPr>
        <w:t>I</w:t>
      </w:r>
      <w:r w:rsidRPr="0024262A">
        <w:rPr>
          <w:rFonts w:ascii="Times New Roman" w:hAnsi="Times New Roman"/>
          <w:spacing w:val="1"/>
          <w:sz w:val="28"/>
          <w:szCs w:val="28"/>
        </w:rPr>
        <w:t>–</w:t>
      </w:r>
      <w:r w:rsidRPr="0024262A">
        <w:rPr>
          <w:rFonts w:ascii="Times New Roman" w:hAnsi="Times New Roman"/>
          <w:spacing w:val="1"/>
          <w:sz w:val="28"/>
          <w:szCs w:val="28"/>
          <w:lang w:val="en-US"/>
        </w:rPr>
        <w:t>II</w:t>
      </w:r>
      <w:r w:rsidRPr="0024262A">
        <w:rPr>
          <w:rFonts w:ascii="Times New Roman" w:hAnsi="Times New Roman"/>
          <w:spacing w:val="1"/>
          <w:sz w:val="28"/>
          <w:szCs w:val="28"/>
        </w:rPr>
        <w:t> степени.</w:t>
      </w: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62A">
        <w:rPr>
          <w:rFonts w:ascii="Times New Roman" w:hAnsi="Times New Roman"/>
          <w:sz w:val="28"/>
          <w:szCs w:val="28"/>
        </w:rPr>
        <w:t>Через 10–14 дней у пациентов подгруппы «А» (традиционный метод лечения) признаки острого воспаления пародонта исчезли. А при использовании «</w:t>
      </w:r>
      <w:proofErr w:type="spellStart"/>
      <w:r w:rsidRPr="0024262A">
        <w:rPr>
          <w:rFonts w:ascii="Times New Roman" w:hAnsi="Times New Roman"/>
          <w:sz w:val="28"/>
          <w:szCs w:val="28"/>
        </w:rPr>
        <w:t>Имудона</w:t>
      </w:r>
      <w:proofErr w:type="spellEnd"/>
      <w:r w:rsidRPr="0024262A">
        <w:rPr>
          <w:rFonts w:ascii="Times New Roman" w:hAnsi="Times New Roman"/>
          <w:sz w:val="28"/>
          <w:szCs w:val="28"/>
        </w:rPr>
        <w:t>» (подгруппа «В») они исчезали на 5–7</w:t>
      </w:r>
      <w:r w:rsidRPr="0024262A">
        <w:rPr>
          <w:rFonts w:ascii="Times New Roman" w:hAnsi="Times New Roman"/>
          <w:sz w:val="28"/>
          <w:szCs w:val="28"/>
        </w:rPr>
        <w:softHyphen/>
        <w:t>е сутки исследования. Кровоточивость десны при чистке зубов прекращалась или значительно снижалась позднее: в подгруппе «А» – на 15–20</w:t>
      </w:r>
      <w:r w:rsidRPr="0024262A">
        <w:rPr>
          <w:rFonts w:ascii="Times New Roman" w:hAnsi="Times New Roman"/>
          <w:sz w:val="28"/>
          <w:szCs w:val="28"/>
        </w:rPr>
        <w:softHyphen/>
        <w:t>е сутки, а в подгруппе «В» – на 10–12</w:t>
      </w:r>
      <w:r w:rsidRPr="0024262A">
        <w:rPr>
          <w:rFonts w:ascii="Times New Roman" w:hAnsi="Times New Roman"/>
          <w:sz w:val="28"/>
          <w:szCs w:val="28"/>
        </w:rPr>
        <w:softHyphen/>
        <w:t>е сутки.</w:t>
      </w: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62A">
        <w:rPr>
          <w:rFonts w:ascii="Times New Roman" w:hAnsi="Times New Roman"/>
          <w:sz w:val="28"/>
          <w:szCs w:val="28"/>
        </w:rPr>
        <w:t>После проведенного комплексного лечения к концу месяца исследования объективно отмечено улучшение состояния тканей пародонта (табл. 1). Показатели гигиенического индекса снизились на 48,4 и 56,7% соответственно в подгруппах «А» и «В» (</w:t>
      </w:r>
      <w:proofErr w:type="gramStart"/>
      <w:r w:rsidRPr="0024262A">
        <w:rPr>
          <w:rFonts w:ascii="Times New Roman" w:hAnsi="Times New Roman"/>
          <w:sz w:val="28"/>
          <w:szCs w:val="28"/>
        </w:rPr>
        <w:t>р</w:t>
      </w:r>
      <w:proofErr w:type="gramEnd"/>
      <w:r w:rsidRPr="0024262A">
        <w:rPr>
          <w:rFonts w:ascii="Times New Roman" w:hAnsi="Times New Roman"/>
          <w:sz w:val="28"/>
          <w:szCs w:val="28"/>
        </w:rPr>
        <w:t xml:space="preserve"> &lt; 0,05). Среднее значение индекса РМА уменьшилось в подгруппе «А» на 79,4%, а в подгруппе «В» – на 83,9% (</w:t>
      </w:r>
      <w:proofErr w:type="gramStart"/>
      <w:r w:rsidRPr="0024262A">
        <w:rPr>
          <w:rFonts w:ascii="Times New Roman" w:hAnsi="Times New Roman"/>
          <w:sz w:val="28"/>
          <w:szCs w:val="28"/>
        </w:rPr>
        <w:t>р</w:t>
      </w:r>
      <w:proofErr w:type="gramEnd"/>
      <w:r w:rsidRPr="0024262A">
        <w:rPr>
          <w:rFonts w:ascii="Times New Roman" w:hAnsi="Times New Roman"/>
          <w:sz w:val="28"/>
          <w:szCs w:val="28"/>
        </w:rPr>
        <w:t xml:space="preserve"> &gt; 0,05). Уменьшилось число пациентов с симптомом кровоточивости десны. Значения индекса кровоточивости снизились в среднем в подгруппе «А» – на 65,3%, а в подгруппе «В» – на 76,2% (</w:t>
      </w:r>
      <w:proofErr w:type="gramStart"/>
      <w:r w:rsidRPr="0024262A">
        <w:rPr>
          <w:rFonts w:ascii="Times New Roman" w:hAnsi="Times New Roman"/>
          <w:sz w:val="28"/>
          <w:szCs w:val="28"/>
        </w:rPr>
        <w:t>р</w:t>
      </w:r>
      <w:proofErr w:type="gramEnd"/>
      <w:r w:rsidRPr="0024262A">
        <w:rPr>
          <w:rFonts w:ascii="Times New Roman" w:hAnsi="Times New Roman"/>
          <w:sz w:val="28"/>
          <w:szCs w:val="28"/>
        </w:rPr>
        <w:t xml:space="preserve"> &lt; 0,05).</w:t>
      </w: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62A">
        <w:rPr>
          <w:rFonts w:ascii="Times New Roman" w:hAnsi="Times New Roman"/>
          <w:sz w:val="28"/>
          <w:szCs w:val="28"/>
        </w:rPr>
        <w:t xml:space="preserve">В смыве из полости рта у больных подгруппы «А» через месяц достоверно снизилось содержание лейкоцитов – в среднем на 40,8% (табл. 2). У них также уменьшился показатель фагоцитоза нейтрофилов, как в </w:t>
      </w:r>
      <w:proofErr w:type="gramStart"/>
      <w:r w:rsidRPr="0024262A">
        <w:rPr>
          <w:rFonts w:ascii="Times New Roman" w:hAnsi="Times New Roman"/>
          <w:sz w:val="28"/>
          <w:szCs w:val="28"/>
        </w:rPr>
        <w:t>смыве</w:t>
      </w:r>
      <w:proofErr w:type="gramEnd"/>
      <w:r w:rsidRPr="0024262A">
        <w:rPr>
          <w:rFonts w:ascii="Times New Roman" w:hAnsi="Times New Roman"/>
          <w:sz w:val="28"/>
          <w:szCs w:val="28"/>
        </w:rPr>
        <w:t xml:space="preserve"> из полости рта, так и в </w:t>
      </w:r>
      <w:proofErr w:type="spellStart"/>
      <w:r w:rsidRPr="0024262A">
        <w:rPr>
          <w:rFonts w:ascii="Times New Roman" w:hAnsi="Times New Roman"/>
          <w:sz w:val="28"/>
          <w:szCs w:val="28"/>
        </w:rPr>
        <w:t>десневой</w:t>
      </w:r>
      <w:proofErr w:type="spellEnd"/>
      <w:r w:rsidRPr="0024262A">
        <w:rPr>
          <w:rFonts w:ascii="Times New Roman" w:hAnsi="Times New Roman"/>
          <w:sz w:val="28"/>
          <w:szCs w:val="28"/>
        </w:rPr>
        <w:t xml:space="preserve"> жидкости. В среднем на 41,2% снизилось содержание </w:t>
      </w:r>
      <w:proofErr w:type="spellStart"/>
      <w:r w:rsidRPr="0024262A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24262A">
        <w:rPr>
          <w:rFonts w:ascii="Times New Roman" w:hAnsi="Times New Roman"/>
          <w:sz w:val="28"/>
          <w:szCs w:val="28"/>
          <w:lang w:val="en-US"/>
        </w:rPr>
        <w:t>IgA</w:t>
      </w:r>
      <w:proofErr w:type="spellEnd"/>
      <w:r w:rsidRPr="0024262A">
        <w:rPr>
          <w:rFonts w:ascii="Times New Roman" w:hAnsi="Times New Roman"/>
          <w:sz w:val="28"/>
          <w:szCs w:val="28"/>
        </w:rPr>
        <w:t xml:space="preserve"> в ротовой жидкости, став достоверно ниже значений в группе сравнения (0,30 ± 0,131 и 0,34 ± 0,052 г/л, соответственно). Все эти изменения свидетельствуют о прекращении активного воспалительного процесса и переходе его в стадию ремиссии.</w:t>
      </w: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62A">
        <w:rPr>
          <w:rFonts w:ascii="Times New Roman" w:hAnsi="Times New Roman"/>
          <w:sz w:val="28"/>
          <w:szCs w:val="28"/>
        </w:rPr>
        <w:t>Добавление «</w:t>
      </w:r>
      <w:proofErr w:type="spellStart"/>
      <w:r w:rsidRPr="0024262A">
        <w:rPr>
          <w:rFonts w:ascii="Times New Roman" w:hAnsi="Times New Roman"/>
          <w:sz w:val="28"/>
          <w:szCs w:val="28"/>
        </w:rPr>
        <w:t>Имудона</w:t>
      </w:r>
      <w:proofErr w:type="spellEnd"/>
      <w:r w:rsidRPr="0024262A">
        <w:rPr>
          <w:rFonts w:ascii="Times New Roman" w:hAnsi="Times New Roman"/>
          <w:sz w:val="28"/>
          <w:szCs w:val="28"/>
        </w:rPr>
        <w:t xml:space="preserve">» в схему комплексного лечения (подгруппа «В») приводило к тому, что большинство показателей </w:t>
      </w:r>
      <w:proofErr w:type="gramStart"/>
      <w:r w:rsidRPr="0024262A">
        <w:rPr>
          <w:rFonts w:ascii="Times New Roman" w:hAnsi="Times New Roman"/>
          <w:sz w:val="28"/>
          <w:szCs w:val="28"/>
        </w:rPr>
        <w:t>местной</w:t>
      </w:r>
      <w:proofErr w:type="gramEnd"/>
      <w:r w:rsidRPr="00242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62A">
        <w:rPr>
          <w:rFonts w:ascii="Times New Roman" w:hAnsi="Times New Roman"/>
          <w:sz w:val="28"/>
          <w:szCs w:val="28"/>
        </w:rPr>
        <w:t>иммунограммы</w:t>
      </w:r>
      <w:proofErr w:type="spellEnd"/>
      <w:r w:rsidRPr="0024262A">
        <w:rPr>
          <w:rFonts w:ascii="Times New Roman" w:hAnsi="Times New Roman"/>
          <w:sz w:val="28"/>
          <w:szCs w:val="28"/>
        </w:rPr>
        <w:t xml:space="preserve"> через месяц исследования увеличились. У пациентов этой подгруппы в </w:t>
      </w:r>
      <w:proofErr w:type="spellStart"/>
      <w:r w:rsidRPr="0024262A">
        <w:rPr>
          <w:rFonts w:ascii="Times New Roman" w:hAnsi="Times New Roman"/>
          <w:sz w:val="28"/>
          <w:szCs w:val="28"/>
        </w:rPr>
        <w:t>иммунограмме</w:t>
      </w:r>
      <w:proofErr w:type="spellEnd"/>
      <w:r w:rsidRPr="0024262A">
        <w:rPr>
          <w:rFonts w:ascii="Times New Roman" w:hAnsi="Times New Roman"/>
          <w:sz w:val="28"/>
          <w:szCs w:val="28"/>
        </w:rPr>
        <w:t xml:space="preserve"> сохранились сдвиги, характерные для активного иммунного процесса, хотя клинические признаки обострения исчезли даже быстрее, чем у пациентов подгруппы «А». Эти данные показывают, что «</w:t>
      </w:r>
      <w:proofErr w:type="spellStart"/>
      <w:r w:rsidRPr="0024262A">
        <w:rPr>
          <w:rFonts w:ascii="Times New Roman" w:hAnsi="Times New Roman"/>
          <w:sz w:val="28"/>
          <w:szCs w:val="28"/>
        </w:rPr>
        <w:t>Имудон</w:t>
      </w:r>
      <w:proofErr w:type="spellEnd"/>
      <w:r w:rsidRPr="0024262A">
        <w:rPr>
          <w:rFonts w:ascii="Times New Roman" w:hAnsi="Times New Roman"/>
          <w:sz w:val="28"/>
          <w:szCs w:val="28"/>
        </w:rPr>
        <w:t xml:space="preserve">» активирует местные факторы иммунной защиты сильнее, чем это делают микроорганизмы в очаге воспаления. Видимо, с этим связано более быстрое купирование воспаления на фоне использования препарата. Известно, что клеточные и гуморальные иммунные реакции осуществляют не только подавление воспалительной реакции, но и регенерацию тканей пародонта за счет сложных изменений в </w:t>
      </w:r>
      <w:proofErr w:type="spellStart"/>
      <w:r w:rsidRPr="0024262A">
        <w:rPr>
          <w:rFonts w:ascii="Times New Roman" w:hAnsi="Times New Roman"/>
          <w:sz w:val="28"/>
          <w:szCs w:val="28"/>
        </w:rPr>
        <w:t>цитокиновой</w:t>
      </w:r>
      <w:proofErr w:type="spellEnd"/>
      <w:r w:rsidRPr="0024262A">
        <w:rPr>
          <w:rFonts w:ascii="Times New Roman" w:hAnsi="Times New Roman"/>
          <w:sz w:val="28"/>
          <w:szCs w:val="28"/>
        </w:rPr>
        <w:t xml:space="preserve"> системе </w:t>
      </w:r>
      <w:proofErr w:type="spellStart"/>
      <w:r w:rsidRPr="0024262A">
        <w:rPr>
          <w:rFonts w:ascii="Times New Roman" w:hAnsi="Times New Roman"/>
          <w:sz w:val="28"/>
          <w:szCs w:val="28"/>
        </w:rPr>
        <w:t>иммунокомпетентных</w:t>
      </w:r>
      <w:proofErr w:type="spellEnd"/>
      <w:r w:rsidRPr="0024262A">
        <w:rPr>
          <w:rFonts w:ascii="Times New Roman" w:hAnsi="Times New Roman"/>
          <w:sz w:val="28"/>
          <w:szCs w:val="28"/>
        </w:rPr>
        <w:t xml:space="preserve"> клеток при хрон</w:t>
      </w:r>
      <w:r w:rsidR="0024262A">
        <w:rPr>
          <w:rFonts w:ascii="Times New Roman" w:hAnsi="Times New Roman"/>
          <w:sz w:val="28"/>
          <w:szCs w:val="28"/>
        </w:rPr>
        <w:t>ическом воспалительном процессе</w:t>
      </w:r>
      <w:r w:rsidRPr="0024262A">
        <w:rPr>
          <w:rFonts w:ascii="Times New Roman" w:hAnsi="Times New Roman"/>
          <w:sz w:val="28"/>
          <w:szCs w:val="28"/>
        </w:rPr>
        <w:t>.</w:t>
      </w: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62A">
        <w:rPr>
          <w:rFonts w:ascii="Times New Roman" w:hAnsi="Times New Roman"/>
          <w:sz w:val="28"/>
          <w:szCs w:val="28"/>
        </w:rPr>
        <w:t xml:space="preserve">Таким образом, результаты исследования показали, что при обострении ХГП происходит усиление эмиграции нейтрофилов через эпителиальное зубодесневое соединение. При этом также активируется фагоцитоз нейтрофилов и увеличивается образование секреторного иммуноглобулина </w:t>
      </w:r>
      <w:r w:rsidRPr="0024262A">
        <w:rPr>
          <w:rFonts w:ascii="Times New Roman" w:hAnsi="Times New Roman"/>
          <w:sz w:val="28"/>
          <w:szCs w:val="28"/>
          <w:lang w:val="en-US"/>
        </w:rPr>
        <w:t>A</w:t>
      </w:r>
      <w:r w:rsidRPr="0024262A">
        <w:rPr>
          <w:rFonts w:ascii="Times New Roman" w:hAnsi="Times New Roman"/>
          <w:sz w:val="28"/>
          <w:szCs w:val="28"/>
        </w:rPr>
        <w:t>.</w:t>
      </w: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62A">
        <w:rPr>
          <w:rFonts w:ascii="Times New Roman" w:hAnsi="Times New Roman"/>
          <w:sz w:val="28"/>
          <w:szCs w:val="28"/>
        </w:rPr>
        <w:t>Таблица 1</w:t>
      </w:r>
    </w:p>
    <w:p w:rsidR="00301C0A" w:rsidRPr="0024262A" w:rsidRDefault="00301C0A" w:rsidP="0024262A">
      <w:pPr>
        <w:spacing w:before="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24262A">
        <w:rPr>
          <w:rFonts w:ascii="Times New Roman" w:hAnsi="Times New Roman"/>
          <w:sz w:val="28"/>
          <w:szCs w:val="28"/>
        </w:rPr>
        <w:t>Изменение клинических показателей гигиены полости рта и состояния пародонта у пациентов за период исследования</w:t>
      </w:r>
      <w:proofErr w:type="gramStart"/>
      <w:r w:rsidRPr="0024262A">
        <w:rPr>
          <w:rFonts w:ascii="Times New Roman" w:hAnsi="Times New Roman"/>
          <w:sz w:val="28"/>
          <w:szCs w:val="28"/>
        </w:rPr>
        <w:t xml:space="preserve"> (∆%)</w:t>
      </w:r>
      <w:proofErr w:type="gramEnd"/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1916"/>
        <w:gridCol w:w="837"/>
        <w:gridCol w:w="894"/>
        <w:gridCol w:w="714"/>
      </w:tblGrid>
      <w:tr w:rsidR="00301C0A" w:rsidRPr="007D1D23" w:rsidTr="00B07DD2">
        <w:trPr>
          <w:trHeight w:val="238"/>
        </w:trPr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 xml:space="preserve">Клинические </w:t>
            </w:r>
            <w:r w:rsidRPr="007D1D23">
              <w:rPr>
                <w:rFonts w:ascii="Times New Roman" w:hAnsi="Times New Roman"/>
                <w:sz w:val="20"/>
                <w:szCs w:val="20"/>
              </w:rPr>
              <w:br/>
              <w:t>показатели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Основная группа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Группа сравнения</w:t>
            </w:r>
          </w:p>
        </w:tc>
      </w:tr>
      <w:tr w:rsidR="00301C0A" w:rsidRPr="007D1D23" w:rsidTr="00B07DD2">
        <w:trPr>
          <w:trHeight w:val="454"/>
        </w:trPr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Подгруппа «А»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Подгруппа «В»</w:t>
            </w: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1C0A" w:rsidRPr="007D1D23" w:rsidTr="00B07DD2">
        <w:trPr>
          <w:trHeight w:val="238"/>
        </w:trPr>
        <w:tc>
          <w:tcPr>
            <w:tcW w:w="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Гигиенический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–48,4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–56,7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–3,1</w:t>
            </w:r>
          </w:p>
        </w:tc>
      </w:tr>
      <w:tr w:rsidR="00301C0A" w:rsidRPr="007D1D23" w:rsidTr="00B07DD2">
        <w:trPr>
          <w:trHeight w:val="454"/>
        </w:trPr>
        <w:tc>
          <w:tcPr>
            <w:tcW w:w="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D23">
              <w:rPr>
                <w:rFonts w:ascii="Times New Roman" w:hAnsi="Times New Roman"/>
                <w:sz w:val="20"/>
                <w:szCs w:val="20"/>
              </w:rPr>
              <w:t>Папилло</w:t>
            </w:r>
            <w:r w:rsidRPr="007D1D23">
              <w:rPr>
                <w:rFonts w:ascii="Times New Roman" w:hAnsi="Times New Roman"/>
                <w:sz w:val="20"/>
                <w:szCs w:val="20"/>
              </w:rPr>
              <w:softHyphen/>
              <w:t>маргинально­альвеолярный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–79,4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–83,9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–0,2</w:t>
            </w:r>
          </w:p>
        </w:tc>
      </w:tr>
      <w:tr w:rsidR="00301C0A" w:rsidRPr="007D1D23" w:rsidTr="00B07DD2">
        <w:trPr>
          <w:trHeight w:val="238"/>
        </w:trPr>
        <w:tc>
          <w:tcPr>
            <w:tcW w:w="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D23">
              <w:rPr>
                <w:rFonts w:ascii="Times New Roman" w:hAnsi="Times New Roman"/>
                <w:sz w:val="20"/>
                <w:szCs w:val="20"/>
              </w:rPr>
              <w:t>Пародонтальный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–35,9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–44,0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–1,8</w:t>
            </w:r>
          </w:p>
        </w:tc>
      </w:tr>
      <w:tr w:rsidR="00301C0A" w:rsidRPr="007D1D23" w:rsidTr="00B07DD2">
        <w:trPr>
          <w:trHeight w:val="238"/>
        </w:trPr>
        <w:tc>
          <w:tcPr>
            <w:tcW w:w="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Кровоточивости десны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–65,3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–76,2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01C0A" w:rsidRPr="007D1D23" w:rsidTr="00B07DD2">
        <w:trPr>
          <w:trHeight w:val="454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 xml:space="preserve">Глубина </w:t>
            </w:r>
            <w:proofErr w:type="spellStart"/>
            <w:r w:rsidRPr="007D1D23">
              <w:rPr>
                <w:rFonts w:ascii="Times New Roman" w:hAnsi="Times New Roman"/>
                <w:sz w:val="20"/>
                <w:szCs w:val="20"/>
              </w:rPr>
              <w:t>пародонтальных</w:t>
            </w:r>
            <w:proofErr w:type="spellEnd"/>
            <w:r w:rsidRPr="007D1D23">
              <w:rPr>
                <w:rFonts w:ascii="Times New Roman" w:hAnsi="Times New Roman"/>
                <w:sz w:val="20"/>
                <w:szCs w:val="20"/>
              </w:rPr>
              <w:t xml:space="preserve"> карманов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–13,5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01C0A" w:rsidRPr="007D1D23" w:rsidRDefault="00301C0A" w:rsidP="00301C0A">
      <w:pPr>
        <w:spacing w:before="0"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01C0A" w:rsidRPr="0024262A" w:rsidRDefault="00301C0A" w:rsidP="00301C0A">
      <w:pPr>
        <w:spacing w:before="0" w:after="0" w:line="240" w:lineRule="auto"/>
        <w:ind w:left="0"/>
        <w:rPr>
          <w:rFonts w:ascii="Times New Roman" w:hAnsi="Times New Roman"/>
          <w:sz w:val="24"/>
          <w:szCs w:val="20"/>
        </w:rPr>
      </w:pPr>
      <w:r w:rsidRPr="0024262A">
        <w:rPr>
          <w:rFonts w:ascii="Times New Roman" w:hAnsi="Times New Roman"/>
          <w:sz w:val="24"/>
          <w:szCs w:val="20"/>
        </w:rPr>
        <w:t>Таблица 2</w:t>
      </w:r>
    </w:p>
    <w:p w:rsidR="00301C0A" w:rsidRPr="007D1D23" w:rsidRDefault="00301C0A" w:rsidP="00301C0A">
      <w:pPr>
        <w:spacing w:before="0"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24262A">
        <w:rPr>
          <w:rFonts w:ascii="Times New Roman" w:hAnsi="Times New Roman"/>
          <w:sz w:val="24"/>
          <w:szCs w:val="20"/>
        </w:rPr>
        <w:t xml:space="preserve">Изменение показателей местной </w:t>
      </w:r>
      <w:proofErr w:type="spellStart"/>
      <w:r w:rsidRPr="0024262A">
        <w:rPr>
          <w:rFonts w:ascii="Times New Roman" w:hAnsi="Times New Roman"/>
          <w:sz w:val="24"/>
          <w:szCs w:val="20"/>
        </w:rPr>
        <w:t>иммунограммы</w:t>
      </w:r>
      <w:proofErr w:type="spellEnd"/>
      <w:r w:rsidRPr="0024262A">
        <w:rPr>
          <w:rFonts w:ascii="Times New Roman" w:hAnsi="Times New Roman"/>
          <w:sz w:val="24"/>
          <w:szCs w:val="20"/>
        </w:rPr>
        <w:t xml:space="preserve"> в полости рта у больных основной группы под влиянием комплексного лечения с «</w:t>
      </w:r>
      <w:proofErr w:type="spellStart"/>
      <w:r w:rsidRPr="0024262A">
        <w:rPr>
          <w:rFonts w:ascii="Times New Roman" w:hAnsi="Times New Roman"/>
          <w:sz w:val="24"/>
          <w:szCs w:val="20"/>
        </w:rPr>
        <w:t>Имудоном</w:t>
      </w:r>
      <w:proofErr w:type="spellEnd"/>
      <w:r w:rsidRPr="0024262A">
        <w:rPr>
          <w:rFonts w:ascii="Times New Roman" w:hAnsi="Times New Roman"/>
          <w:sz w:val="24"/>
          <w:szCs w:val="20"/>
        </w:rPr>
        <w:t xml:space="preserve">» </w:t>
      </w:r>
      <w:r w:rsidRPr="0024262A">
        <w:rPr>
          <w:rFonts w:ascii="Times New Roman" w:hAnsi="Times New Roman"/>
          <w:sz w:val="24"/>
          <w:szCs w:val="20"/>
        </w:rPr>
        <w:br/>
      </w:r>
      <w:r w:rsidRPr="007D1D23">
        <w:rPr>
          <w:rFonts w:ascii="Times New Roman" w:hAnsi="Times New Roman"/>
          <w:sz w:val="20"/>
          <w:szCs w:val="20"/>
        </w:rPr>
        <w:t xml:space="preserve">(М ± </w:t>
      </w:r>
      <w:r w:rsidRPr="007D1D23">
        <w:rPr>
          <w:rFonts w:ascii="Times New Roman" w:hAnsi="Times New Roman"/>
          <w:sz w:val="20"/>
          <w:szCs w:val="20"/>
          <w:lang w:val="en-US"/>
        </w:rPr>
        <w:t>m</w:t>
      </w:r>
      <w:r w:rsidRPr="007D1D23">
        <w:rPr>
          <w:rFonts w:ascii="Times New Roman" w:hAnsi="Times New Roman"/>
          <w:sz w:val="20"/>
          <w:szCs w:val="20"/>
        </w:rPr>
        <w:t xml:space="preserve">, ∆%, </w:t>
      </w:r>
      <w:r w:rsidRPr="007D1D23">
        <w:rPr>
          <w:rFonts w:ascii="Times New Roman" w:hAnsi="Times New Roman"/>
          <w:sz w:val="20"/>
          <w:szCs w:val="20"/>
          <w:lang w:val="en-US"/>
        </w:rPr>
        <w:t>p</w:t>
      </w:r>
      <w:r w:rsidRPr="007D1D23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9"/>
        <w:gridCol w:w="1353"/>
        <w:gridCol w:w="1464"/>
        <w:gridCol w:w="1171"/>
        <w:gridCol w:w="1464"/>
        <w:gridCol w:w="1464"/>
        <w:gridCol w:w="1283"/>
      </w:tblGrid>
      <w:tr w:rsidR="00301C0A" w:rsidRPr="007D1D23" w:rsidTr="00B07DD2">
        <w:trPr>
          <w:trHeight w:val="238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Иммунологические показатели</w:t>
            </w:r>
          </w:p>
        </w:tc>
        <w:tc>
          <w:tcPr>
            <w:tcW w:w="3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Подгруппа «А»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Подгруппа «В»</w:t>
            </w:r>
          </w:p>
        </w:tc>
      </w:tr>
      <w:tr w:rsidR="00301C0A" w:rsidRPr="007D1D23" w:rsidTr="00B07DD2">
        <w:trPr>
          <w:trHeight w:val="454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В начале лечения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Через месяц лечения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Изменение</w:t>
            </w:r>
            <w:proofErr w:type="gramStart"/>
            <w:r w:rsidRPr="007D1D23">
              <w:rPr>
                <w:rFonts w:ascii="Times New Roman" w:hAnsi="Times New Roman"/>
                <w:sz w:val="20"/>
                <w:szCs w:val="20"/>
              </w:rPr>
              <w:t xml:space="preserve"> (∆%, </w:t>
            </w:r>
            <w:proofErr w:type="gramEnd"/>
            <w:r w:rsidRPr="007D1D23">
              <w:rPr>
                <w:rFonts w:ascii="Times New Roman" w:hAnsi="Times New Roman"/>
                <w:sz w:val="20"/>
                <w:szCs w:val="20"/>
              </w:rPr>
              <w:t>р)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 xml:space="preserve">В начале </w:t>
            </w:r>
            <w:r w:rsidRPr="007D1D23">
              <w:rPr>
                <w:rFonts w:ascii="Times New Roman" w:hAnsi="Times New Roman"/>
                <w:sz w:val="20"/>
                <w:szCs w:val="20"/>
              </w:rPr>
              <w:br/>
              <w:t>лечения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Через месяц лечения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Изменение</w:t>
            </w:r>
            <w:proofErr w:type="gramStart"/>
            <w:r w:rsidRPr="007D1D23">
              <w:rPr>
                <w:rFonts w:ascii="Times New Roman" w:hAnsi="Times New Roman"/>
                <w:sz w:val="20"/>
                <w:szCs w:val="20"/>
              </w:rPr>
              <w:t xml:space="preserve"> (∆%)</w:t>
            </w:r>
            <w:proofErr w:type="gramEnd"/>
          </w:p>
        </w:tc>
      </w:tr>
      <w:tr w:rsidR="00301C0A" w:rsidRPr="007D1D23" w:rsidTr="00B07DD2">
        <w:trPr>
          <w:trHeight w:val="238"/>
        </w:trPr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В ротовой жидкости</w:t>
            </w:r>
          </w:p>
        </w:tc>
      </w:tr>
      <w:tr w:rsidR="00301C0A" w:rsidRPr="007D1D23" w:rsidTr="00B07DD2">
        <w:trPr>
          <w:trHeight w:val="267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Л × 10</w:t>
            </w:r>
            <w:r w:rsidRPr="007D1D23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3,92 ± 0,401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2,32 ± 0,322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–40,8*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3,84 ± 0,731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4,24 ± 0,604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+9,4</w:t>
            </w:r>
          </w:p>
        </w:tc>
      </w:tr>
      <w:tr w:rsidR="00301C0A" w:rsidRPr="007D1D23" w:rsidTr="00B07DD2">
        <w:trPr>
          <w:trHeight w:val="27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ФАН,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16,2 ± 1,22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10,8 ± 1,12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–33,3*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15,4 ± 1,10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17,6 ± 1,23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+12,2</w:t>
            </w:r>
          </w:p>
        </w:tc>
      </w:tr>
      <w:tr w:rsidR="00301C0A" w:rsidRPr="007D1D23" w:rsidTr="00B07DD2">
        <w:trPr>
          <w:trHeight w:val="27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ААН,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43,6 ± 1,41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44,8 ± 1,52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+2,7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45,1 ± 1,41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45,9 ± 1,54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+1,7</w:t>
            </w:r>
          </w:p>
        </w:tc>
      </w:tr>
      <w:tr w:rsidR="00301C0A" w:rsidRPr="007D1D23" w:rsidTr="00B07DD2">
        <w:trPr>
          <w:trHeight w:val="25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1D23">
              <w:rPr>
                <w:rFonts w:ascii="Times New Roman" w:hAnsi="Times New Roman"/>
                <w:sz w:val="20"/>
                <w:szCs w:val="20"/>
                <w:vertAlign w:val="subscript"/>
              </w:rPr>
              <w:t>s</w:t>
            </w:r>
            <w:r w:rsidRPr="007D1D23">
              <w:rPr>
                <w:rFonts w:ascii="Times New Roman" w:hAnsi="Times New Roman"/>
                <w:sz w:val="20"/>
                <w:szCs w:val="20"/>
              </w:rPr>
              <w:t>IgA</w:t>
            </w:r>
            <w:proofErr w:type="spellEnd"/>
            <w:r w:rsidRPr="007D1D23">
              <w:rPr>
                <w:rFonts w:ascii="Times New Roman" w:hAnsi="Times New Roman"/>
                <w:sz w:val="20"/>
                <w:szCs w:val="20"/>
              </w:rPr>
              <w:t>, г/л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0,51 ± 0,134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0,30 ± 0,131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–41,2*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0,49 ± 0,120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0,56 ± 0,111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+12,5</w:t>
            </w:r>
          </w:p>
        </w:tc>
      </w:tr>
      <w:tr w:rsidR="00301C0A" w:rsidRPr="007D1D23" w:rsidTr="00B07DD2">
        <w:trPr>
          <w:trHeight w:val="238"/>
        </w:trPr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D1D23">
              <w:rPr>
                <w:rFonts w:ascii="Times New Roman" w:hAnsi="Times New Roman"/>
                <w:sz w:val="20"/>
                <w:szCs w:val="20"/>
              </w:rPr>
              <w:t>десневой</w:t>
            </w:r>
            <w:proofErr w:type="spellEnd"/>
            <w:r w:rsidRPr="007D1D23">
              <w:rPr>
                <w:rFonts w:ascii="Times New Roman" w:hAnsi="Times New Roman"/>
                <w:sz w:val="20"/>
                <w:szCs w:val="20"/>
              </w:rPr>
              <w:t xml:space="preserve"> жидкости</w:t>
            </w:r>
          </w:p>
        </w:tc>
      </w:tr>
      <w:tr w:rsidR="00301C0A" w:rsidRPr="007D1D23" w:rsidTr="00B07DD2">
        <w:trPr>
          <w:trHeight w:val="266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ФАН,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27,1 ± 1,50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18,2 ± 1,53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–32,8*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25,9 ± 1,51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24,8 ± 1,44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–4,2</w:t>
            </w:r>
          </w:p>
        </w:tc>
      </w:tr>
      <w:tr w:rsidR="00301C0A" w:rsidRPr="007D1D23" w:rsidTr="00B07DD2">
        <w:trPr>
          <w:trHeight w:val="250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ААН, %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51,4 ± 2,12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46,4 ± 2,03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–9,7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49,6 ± 2,11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52,4 ± 2,30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1C0A" w:rsidRPr="007D1D23" w:rsidRDefault="00301C0A" w:rsidP="00B07DD2">
            <w:pPr>
              <w:spacing w:before="0"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D1D23">
              <w:rPr>
                <w:rFonts w:ascii="Times New Roman" w:hAnsi="Times New Roman"/>
                <w:sz w:val="20"/>
                <w:szCs w:val="20"/>
              </w:rPr>
              <w:t>+5,3</w:t>
            </w:r>
          </w:p>
        </w:tc>
      </w:tr>
    </w:tbl>
    <w:p w:rsidR="00301C0A" w:rsidRPr="007D1D23" w:rsidRDefault="00301C0A" w:rsidP="00301C0A">
      <w:pPr>
        <w:spacing w:before="0"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01C0A" w:rsidRPr="0024262A" w:rsidRDefault="00301C0A" w:rsidP="00301C0A">
      <w:pPr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4262A">
        <w:rPr>
          <w:rFonts w:ascii="Times New Roman" w:hAnsi="Times New Roman"/>
          <w:sz w:val="28"/>
          <w:szCs w:val="28"/>
        </w:rPr>
        <w:t>Примечание. * – различия статистически достоверны (</w:t>
      </w:r>
      <w:proofErr w:type="gramStart"/>
      <w:r w:rsidRPr="0024262A">
        <w:rPr>
          <w:rFonts w:ascii="Times New Roman" w:hAnsi="Times New Roman"/>
          <w:sz w:val="28"/>
          <w:szCs w:val="28"/>
        </w:rPr>
        <w:t>р</w:t>
      </w:r>
      <w:proofErr w:type="gramEnd"/>
      <w:r w:rsidRPr="0024262A">
        <w:rPr>
          <w:rFonts w:ascii="Times New Roman" w:hAnsi="Times New Roman"/>
          <w:sz w:val="28"/>
          <w:szCs w:val="28"/>
        </w:rPr>
        <w:t xml:space="preserve"> &lt; 0,05).</w:t>
      </w:r>
    </w:p>
    <w:p w:rsidR="00301C0A" w:rsidRPr="0024262A" w:rsidRDefault="00301C0A" w:rsidP="00301C0A">
      <w:pPr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01C0A" w:rsidRPr="0024262A" w:rsidRDefault="00301C0A" w:rsidP="00301C0A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4262A">
        <w:rPr>
          <w:rFonts w:ascii="Times New Roman" w:hAnsi="Times New Roman"/>
          <w:b/>
          <w:sz w:val="28"/>
          <w:szCs w:val="28"/>
        </w:rPr>
        <w:t>Вывод</w:t>
      </w:r>
    </w:p>
    <w:p w:rsidR="00301C0A" w:rsidRPr="0024262A" w:rsidRDefault="00301C0A" w:rsidP="00301C0A">
      <w:pPr>
        <w:spacing w:before="0" w:after="0" w:line="240" w:lineRule="auto"/>
        <w:ind w:left="0"/>
        <w:rPr>
          <w:rFonts w:ascii="Times New Roman" w:hAnsi="Times New Roman"/>
          <w:spacing w:val="1"/>
          <w:sz w:val="28"/>
          <w:szCs w:val="28"/>
        </w:rPr>
      </w:pPr>
      <w:r w:rsidRPr="0024262A">
        <w:rPr>
          <w:rFonts w:ascii="Times New Roman" w:hAnsi="Times New Roman"/>
          <w:spacing w:val="1"/>
          <w:sz w:val="28"/>
          <w:szCs w:val="28"/>
        </w:rPr>
        <w:t xml:space="preserve">Включение в схему комплексного лечения пациентов с обострением хронического </w:t>
      </w:r>
      <w:proofErr w:type="spellStart"/>
      <w:r w:rsidRPr="0024262A">
        <w:rPr>
          <w:rFonts w:ascii="Times New Roman" w:hAnsi="Times New Roman"/>
          <w:spacing w:val="1"/>
          <w:sz w:val="28"/>
          <w:szCs w:val="28"/>
        </w:rPr>
        <w:t>генерализованного</w:t>
      </w:r>
      <w:proofErr w:type="spellEnd"/>
      <w:r w:rsidRPr="0024262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24262A">
        <w:rPr>
          <w:rFonts w:ascii="Times New Roman" w:hAnsi="Times New Roman"/>
          <w:spacing w:val="1"/>
          <w:sz w:val="28"/>
          <w:szCs w:val="28"/>
        </w:rPr>
        <w:t>пародонтита</w:t>
      </w:r>
      <w:proofErr w:type="spellEnd"/>
      <w:r w:rsidRPr="0024262A">
        <w:rPr>
          <w:rFonts w:ascii="Times New Roman" w:hAnsi="Times New Roman"/>
          <w:spacing w:val="1"/>
          <w:sz w:val="28"/>
          <w:szCs w:val="28"/>
        </w:rPr>
        <w:t xml:space="preserve"> «</w:t>
      </w:r>
      <w:proofErr w:type="spellStart"/>
      <w:r w:rsidRPr="0024262A">
        <w:rPr>
          <w:rFonts w:ascii="Times New Roman" w:hAnsi="Times New Roman"/>
          <w:spacing w:val="1"/>
          <w:sz w:val="28"/>
          <w:szCs w:val="28"/>
        </w:rPr>
        <w:t>Имудона</w:t>
      </w:r>
      <w:proofErr w:type="spellEnd"/>
      <w:r w:rsidRPr="0024262A">
        <w:rPr>
          <w:rFonts w:ascii="Times New Roman" w:hAnsi="Times New Roman"/>
          <w:spacing w:val="1"/>
          <w:sz w:val="28"/>
          <w:szCs w:val="28"/>
        </w:rPr>
        <w:t>» приводит к активации фагоцитоза нейтрофилов и усилению эмиграции лейкоцитов, более быстрому исчезновению клинических проявлений заболевания. «</w:t>
      </w:r>
      <w:proofErr w:type="spellStart"/>
      <w:r w:rsidRPr="0024262A">
        <w:rPr>
          <w:rFonts w:ascii="Times New Roman" w:hAnsi="Times New Roman"/>
          <w:spacing w:val="1"/>
          <w:sz w:val="28"/>
          <w:szCs w:val="28"/>
        </w:rPr>
        <w:t>Имудон</w:t>
      </w:r>
      <w:proofErr w:type="spellEnd"/>
      <w:r w:rsidRPr="0024262A">
        <w:rPr>
          <w:rFonts w:ascii="Times New Roman" w:hAnsi="Times New Roman"/>
          <w:spacing w:val="1"/>
          <w:sz w:val="28"/>
          <w:szCs w:val="28"/>
        </w:rPr>
        <w:t>» способствует выраженной активации местных иммунных реакций.</w:t>
      </w:r>
    </w:p>
    <w:p w:rsidR="0024262A" w:rsidRDefault="0024262A" w:rsidP="00301C0A">
      <w:pPr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01C0A" w:rsidRPr="0024262A" w:rsidRDefault="00301C0A" w:rsidP="00301C0A">
      <w:pPr>
        <w:spacing w:before="0"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4262A">
        <w:rPr>
          <w:rFonts w:ascii="Times New Roman" w:hAnsi="Times New Roman"/>
          <w:b/>
          <w:sz w:val="28"/>
          <w:szCs w:val="28"/>
        </w:rPr>
        <w:t xml:space="preserve">Литература / </w:t>
      </w:r>
      <w:proofErr w:type="spellStart"/>
      <w:r w:rsidRPr="0024262A">
        <w:rPr>
          <w:rFonts w:ascii="Times New Roman" w:hAnsi="Times New Roman"/>
          <w:b/>
          <w:sz w:val="28"/>
          <w:szCs w:val="28"/>
        </w:rPr>
        <w:t>References</w:t>
      </w:r>
      <w:proofErr w:type="spellEnd"/>
    </w:p>
    <w:p w:rsidR="00301C0A" w:rsidRPr="0024262A" w:rsidRDefault="00301C0A" w:rsidP="0024262A">
      <w:pPr>
        <w:pStyle w:val="a3"/>
        <w:numPr>
          <w:ilvl w:val="0"/>
          <w:numId w:val="2"/>
        </w:numPr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4262A">
        <w:rPr>
          <w:rFonts w:ascii="Times New Roman" w:hAnsi="Times New Roman"/>
          <w:sz w:val="28"/>
          <w:szCs w:val="28"/>
        </w:rPr>
        <w:t xml:space="preserve">Булгакова А.И., Медведев Ю.А., </w:t>
      </w:r>
      <w:proofErr w:type="spellStart"/>
      <w:r w:rsidRPr="0024262A">
        <w:rPr>
          <w:rFonts w:ascii="Times New Roman" w:hAnsi="Times New Roman"/>
          <w:sz w:val="28"/>
          <w:szCs w:val="28"/>
        </w:rPr>
        <w:t>Миргазизов</w:t>
      </w:r>
      <w:proofErr w:type="spellEnd"/>
      <w:r w:rsidRPr="0024262A">
        <w:rPr>
          <w:rFonts w:ascii="Times New Roman" w:hAnsi="Times New Roman"/>
          <w:sz w:val="28"/>
          <w:szCs w:val="28"/>
        </w:rPr>
        <w:t xml:space="preserve"> М.З. Состояние местного иммунитета </w:t>
      </w:r>
      <w:proofErr w:type="gramStart"/>
      <w:r w:rsidRPr="0024262A">
        <w:rPr>
          <w:rFonts w:ascii="Times New Roman" w:hAnsi="Times New Roman"/>
          <w:sz w:val="28"/>
          <w:szCs w:val="28"/>
        </w:rPr>
        <w:t>дес­ны</w:t>
      </w:r>
      <w:proofErr w:type="gramEnd"/>
      <w:r w:rsidRPr="0024262A">
        <w:rPr>
          <w:rFonts w:ascii="Times New Roman" w:hAnsi="Times New Roman"/>
          <w:sz w:val="28"/>
          <w:szCs w:val="28"/>
        </w:rPr>
        <w:t xml:space="preserve"> и ротовой полости у пациентов с хроническим пародонтитом // Иммунология, аллергология, </w:t>
      </w:r>
      <w:proofErr w:type="spellStart"/>
      <w:r w:rsidRPr="0024262A">
        <w:rPr>
          <w:rFonts w:ascii="Times New Roman" w:hAnsi="Times New Roman"/>
          <w:sz w:val="28"/>
          <w:szCs w:val="28"/>
        </w:rPr>
        <w:t>инфектология</w:t>
      </w:r>
      <w:proofErr w:type="spellEnd"/>
      <w:r w:rsidRPr="0024262A">
        <w:rPr>
          <w:rFonts w:ascii="Times New Roman" w:hAnsi="Times New Roman"/>
          <w:sz w:val="28"/>
          <w:szCs w:val="28"/>
        </w:rPr>
        <w:t>. – 2001. – № 2. – С. 34–37.</w:t>
      </w:r>
    </w:p>
    <w:p w:rsidR="00301C0A" w:rsidRPr="0024262A" w:rsidRDefault="00301C0A" w:rsidP="0024262A">
      <w:pPr>
        <w:pStyle w:val="a3"/>
        <w:numPr>
          <w:ilvl w:val="0"/>
          <w:numId w:val="2"/>
        </w:numPr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24262A">
        <w:rPr>
          <w:rFonts w:ascii="Times New Roman" w:hAnsi="Times New Roman"/>
          <w:sz w:val="28"/>
          <w:szCs w:val="28"/>
        </w:rPr>
        <w:t>Ламонт</w:t>
      </w:r>
      <w:proofErr w:type="spellEnd"/>
      <w:r w:rsidRPr="0024262A">
        <w:rPr>
          <w:rFonts w:ascii="Times New Roman" w:hAnsi="Times New Roman"/>
          <w:sz w:val="28"/>
          <w:szCs w:val="28"/>
        </w:rPr>
        <w:t xml:space="preserve"> Р. Дж., Мэрилин С.Л., Берне Р.А., </w:t>
      </w:r>
      <w:proofErr w:type="spellStart"/>
      <w:r w:rsidRPr="0024262A">
        <w:rPr>
          <w:rFonts w:ascii="Times New Roman" w:hAnsi="Times New Roman"/>
          <w:sz w:val="28"/>
          <w:szCs w:val="28"/>
        </w:rPr>
        <w:t>Лебланк</w:t>
      </w:r>
      <w:proofErr w:type="spellEnd"/>
      <w:r w:rsidRPr="0024262A">
        <w:rPr>
          <w:rFonts w:ascii="Times New Roman" w:hAnsi="Times New Roman"/>
          <w:sz w:val="28"/>
          <w:szCs w:val="28"/>
        </w:rPr>
        <w:t xml:space="preserve"> Д.Д. Микробиология и иммунология для стоматологов (пер. В.К. Леонтьева). – М.: Практическая медицина, 2010. – 502 </w:t>
      </w:r>
      <w:proofErr w:type="gramStart"/>
      <w:r w:rsidRPr="0024262A">
        <w:rPr>
          <w:rFonts w:ascii="Times New Roman" w:hAnsi="Times New Roman"/>
          <w:sz w:val="28"/>
          <w:szCs w:val="28"/>
        </w:rPr>
        <w:t>с</w:t>
      </w:r>
      <w:proofErr w:type="gramEnd"/>
      <w:r w:rsidRPr="0024262A">
        <w:rPr>
          <w:rFonts w:ascii="Times New Roman" w:hAnsi="Times New Roman"/>
          <w:sz w:val="28"/>
          <w:szCs w:val="28"/>
        </w:rPr>
        <w:t>.</w:t>
      </w:r>
    </w:p>
    <w:p w:rsidR="00301C0A" w:rsidRPr="0024262A" w:rsidRDefault="00301C0A" w:rsidP="0024262A">
      <w:pPr>
        <w:pStyle w:val="a3"/>
        <w:numPr>
          <w:ilvl w:val="0"/>
          <w:numId w:val="2"/>
        </w:numPr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4262A">
        <w:rPr>
          <w:rFonts w:ascii="Times New Roman" w:hAnsi="Times New Roman"/>
          <w:sz w:val="28"/>
          <w:szCs w:val="28"/>
        </w:rPr>
        <w:t xml:space="preserve">Леонтьев В.К., </w:t>
      </w:r>
      <w:proofErr w:type="spellStart"/>
      <w:r w:rsidRPr="0024262A">
        <w:rPr>
          <w:rFonts w:ascii="Times New Roman" w:hAnsi="Times New Roman"/>
          <w:sz w:val="28"/>
          <w:szCs w:val="28"/>
        </w:rPr>
        <w:t>Фаустов</w:t>
      </w:r>
      <w:proofErr w:type="spellEnd"/>
      <w:r w:rsidRPr="0024262A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24262A">
        <w:rPr>
          <w:rFonts w:ascii="Times New Roman" w:hAnsi="Times New Roman"/>
          <w:sz w:val="28"/>
          <w:szCs w:val="28"/>
        </w:rPr>
        <w:t>Галенко</w:t>
      </w:r>
      <w:r w:rsidRPr="0024262A">
        <w:rPr>
          <w:rFonts w:ascii="Times New Roman" w:hAnsi="Times New Roman"/>
          <w:sz w:val="28"/>
          <w:szCs w:val="28"/>
        </w:rPr>
        <w:softHyphen/>
        <w:t>Ярошевский</w:t>
      </w:r>
      <w:proofErr w:type="spellEnd"/>
      <w:r w:rsidRPr="0024262A">
        <w:rPr>
          <w:rFonts w:ascii="Times New Roman" w:hAnsi="Times New Roman"/>
          <w:sz w:val="28"/>
          <w:szCs w:val="28"/>
        </w:rPr>
        <w:t xml:space="preserve"> П.А., Попков В.Л. Хронический </w:t>
      </w:r>
      <w:proofErr w:type="spellStart"/>
      <w:r w:rsidRPr="0024262A">
        <w:rPr>
          <w:rFonts w:ascii="Times New Roman" w:hAnsi="Times New Roman"/>
          <w:sz w:val="28"/>
          <w:szCs w:val="28"/>
        </w:rPr>
        <w:t>генерализованный</w:t>
      </w:r>
      <w:proofErr w:type="spellEnd"/>
      <w:r w:rsidRPr="00242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62A">
        <w:rPr>
          <w:rFonts w:ascii="Times New Roman" w:hAnsi="Times New Roman"/>
          <w:sz w:val="28"/>
          <w:szCs w:val="28"/>
        </w:rPr>
        <w:t>пародонтит</w:t>
      </w:r>
      <w:proofErr w:type="spellEnd"/>
      <w:r w:rsidRPr="0024262A">
        <w:rPr>
          <w:rFonts w:ascii="Times New Roman" w:hAnsi="Times New Roman"/>
          <w:sz w:val="28"/>
          <w:szCs w:val="28"/>
        </w:rPr>
        <w:t>: клиническая и экспериментальная фармакотерапия метаболическими корректорами. – Краснодар: «</w:t>
      </w:r>
      <w:proofErr w:type="spellStart"/>
      <w:r w:rsidRPr="0024262A">
        <w:rPr>
          <w:rFonts w:ascii="Times New Roman" w:hAnsi="Times New Roman"/>
          <w:sz w:val="28"/>
          <w:szCs w:val="28"/>
        </w:rPr>
        <w:t>Просвещение</w:t>
      </w:r>
      <w:r w:rsidRPr="0024262A">
        <w:rPr>
          <w:rFonts w:ascii="Times New Roman" w:hAnsi="Times New Roman"/>
          <w:sz w:val="28"/>
          <w:szCs w:val="28"/>
        </w:rPr>
        <w:softHyphen/>
        <w:t>Юг</w:t>
      </w:r>
      <w:proofErr w:type="spellEnd"/>
      <w:r w:rsidRPr="0024262A">
        <w:rPr>
          <w:rFonts w:ascii="Times New Roman" w:hAnsi="Times New Roman"/>
          <w:sz w:val="28"/>
          <w:szCs w:val="28"/>
        </w:rPr>
        <w:t>», 2012. – 403 с.</w:t>
      </w:r>
    </w:p>
    <w:p w:rsidR="00301C0A" w:rsidRPr="0024262A" w:rsidRDefault="00301C0A" w:rsidP="0024262A">
      <w:pPr>
        <w:pStyle w:val="a3"/>
        <w:numPr>
          <w:ilvl w:val="0"/>
          <w:numId w:val="2"/>
        </w:numPr>
        <w:spacing w:before="0" w:after="0" w:line="240" w:lineRule="auto"/>
        <w:ind w:left="426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24262A">
        <w:rPr>
          <w:rFonts w:ascii="Times New Roman" w:hAnsi="Times New Roman"/>
          <w:spacing w:val="2"/>
          <w:sz w:val="28"/>
          <w:szCs w:val="28"/>
        </w:rPr>
        <w:t>Петрухина</w:t>
      </w:r>
      <w:proofErr w:type="spellEnd"/>
      <w:r w:rsidRPr="0024262A">
        <w:rPr>
          <w:rFonts w:ascii="Times New Roman" w:hAnsi="Times New Roman"/>
          <w:spacing w:val="2"/>
          <w:sz w:val="28"/>
          <w:szCs w:val="28"/>
        </w:rPr>
        <w:t xml:space="preserve"> Н.Б. Использование «</w:t>
      </w:r>
      <w:proofErr w:type="spellStart"/>
      <w:r w:rsidRPr="0024262A">
        <w:rPr>
          <w:rFonts w:ascii="Times New Roman" w:hAnsi="Times New Roman"/>
          <w:spacing w:val="2"/>
          <w:sz w:val="28"/>
          <w:szCs w:val="28"/>
        </w:rPr>
        <w:t>Имудона</w:t>
      </w:r>
      <w:proofErr w:type="spellEnd"/>
      <w:r w:rsidRPr="0024262A">
        <w:rPr>
          <w:rFonts w:ascii="Times New Roman" w:hAnsi="Times New Roman"/>
          <w:spacing w:val="2"/>
          <w:sz w:val="28"/>
          <w:szCs w:val="28"/>
        </w:rPr>
        <w:t>» и медицинского озона в комплексном лечении воспалительных заболеваний пародонта (</w:t>
      </w:r>
      <w:proofErr w:type="spellStart"/>
      <w:r w:rsidRPr="0024262A">
        <w:rPr>
          <w:rFonts w:ascii="Times New Roman" w:hAnsi="Times New Roman"/>
          <w:spacing w:val="2"/>
          <w:sz w:val="28"/>
          <w:szCs w:val="28"/>
        </w:rPr>
        <w:t>Автореф</w:t>
      </w:r>
      <w:proofErr w:type="spellEnd"/>
      <w:r w:rsidRPr="0024262A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spellStart"/>
      <w:proofErr w:type="gramStart"/>
      <w:r w:rsidRPr="0024262A">
        <w:rPr>
          <w:rFonts w:ascii="Times New Roman" w:hAnsi="Times New Roman"/>
          <w:spacing w:val="2"/>
          <w:sz w:val="28"/>
          <w:szCs w:val="28"/>
        </w:rPr>
        <w:t>дис</w:t>
      </w:r>
      <w:proofErr w:type="spellEnd"/>
      <w:r w:rsidRPr="0024262A">
        <w:rPr>
          <w:rFonts w:ascii="Times New Roman" w:hAnsi="Times New Roman"/>
          <w:spacing w:val="2"/>
          <w:sz w:val="28"/>
          <w:szCs w:val="28"/>
        </w:rPr>
        <w:t>. … к</w:t>
      </w:r>
      <w:proofErr w:type="gramEnd"/>
      <w:r w:rsidRPr="0024262A">
        <w:rPr>
          <w:rFonts w:ascii="Times New Roman" w:hAnsi="Times New Roman"/>
          <w:spacing w:val="2"/>
          <w:sz w:val="28"/>
          <w:szCs w:val="28"/>
        </w:rPr>
        <w:t>. м. н.). – М., 2004. – 21 с.</w:t>
      </w:r>
    </w:p>
    <w:p w:rsidR="0024262A" w:rsidRPr="0024262A" w:rsidRDefault="0024262A" w:rsidP="0024262A">
      <w:pPr>
        <w:numPr>
          <w:ilvl w:val="0"/>
          <w:numId w:val="2"/>
        </w:numPr>
        <w:spacing w:before="0" w:after="0" w:line="240" w:lineRule="auto"/>
        <w:ind w:left="426"/>
        <w:rPr>
          <w:rFonts w:ascii="Times New Roman" w:hAnsi="Times New Roman"/>
          <w:b/>
          <w:bCs/>
          <w:iCs/>
          <w:sz w:val="28"/>
          <w:szCs w:val="28"/>
        </w:rPr>
      </w:pPr>
      <w:r w:rsidRPr="0024262A">
        <w:rPr>
          <w:rFonts w:ascii="Times New Roman" w:hAnsi="Times New Roman"/>
          <w:iCs/>
          <w:sz w:val="28"/>
          <w:szCs w:val="28"/>
        </w:rPr>
        <w:t xml:space="preserve">Нечаева А.А., </w:t>
      </w:r>
      <w:proofErr w:type="spellStart"/>
      <w:r w:rsidRPr="0024262A">
        <w:rPr>
          <w:rFonts w:ascii="Times New Roman" w:hAnsi="Times New Roman"/>
          <w:iCs/>
          <w:sz w:val="28"/>
          <w:szCs w:val="28"/>
        </w:rPr>
        <w:t>Петрикас</w:t>
      </w:r>
      <w:proofErr w:type="spellEnd"/>
      <w:r w:rsidRPr="0024262A">
        <w:rPr>
          <w:rFonts w:ascii="Times New Roman" w:hAnsi="Times New Roman"/>
          <w:iCs/>
          <w:sz w:val="28"/>
          <w:szCs w:val="28"/>
        </w:rPr>
        <w:t xml:space="preserve"> А.Ж. Оценка </w:t>
      </w:r>
      <w:proofErr w:type="spellStart"/>
      <w:r w:rsidRPr="0024262A">
        <w:rPr>
          <w:rFonts w:ascii="Times New Roman" w:hAnsi="Times New Roman"/>
          <w:iCs/>
          <w:sz w:val="28"/>
          <w:szCs w:val="28"/>
        </w:rPr>
        <w:t>топикального</w:t>
      </w:r>
      <w:proofErr w:type="spellEnd"/>
      <w:r w:rsidRPr="0024262A">
        <w:rPr>
          <w:rFonts w:ascii="Times New Roman" w:hAnsi="Times New Roman"/>
          <w:iCs/>
          <w:sz w:val="28"/>
          <w:szCs w:val="28"/>
        </w:rPr>
        <w:t xml:space="preserve"> обезболивания препаратами </w:t>
      </w:r>
      <w:proofErr w:type="spellStart"/>
      <w:r w:rsidRPr="0024262A">
        <w:rPr>
          <w:rFonts w:ascii="Times New Roman" w:hAnsi="Times New Roman"/>
          <w:iCs/>
          <w:sz w:val="28"/>
          <w:szCs w:val="28"/>
        </w:rPr>
        <w:t>лидокаина</w:t>
      </w:r>
      <w:proofErr w:type="spellEnd"/>
      <w:r w:rsidRPr="0024262A">
        <w:rPr>
          <w:rFonts w:ascii="Times New Roman" w:hAnsi="Times New Roman"/>
          <w:iCs/>
          <w:sz w:val="28"/>
          <w:szCs w:val="28"/>
        </w:rPr>
        <w:t xml:space="preserve"> при проведении инфильтрационной и </w:t>
      </w:r>
      <w:proofErr w:type="spellStart"/>
      <w:r w:rsidRPr="0024262A">
        <w:rPr>
          <w:rFonts w:ascii="Times New Roman" w:hAnsi="Times New Roman"/>
          <w:iCs/>
          <w:sz w:val="28"/>
          <w:szCs w:val="28"/>
        </w:rPr>
        <w:t>интралигаментарной</w:t>
      </w:r>
      <w:proofErr w:type="spellEnd"/>
      <w:r w:rsidRPr="0024262A">
        <w:rPr>
          <w:rFonts w:ascii="Times New Roman" w:hAnsi="Times New Roman"/>
          <w:iCs/>
          <w:sz w:val="28"/>
          <w:szCs w:val="28"/>
        </w:rPr>
        <w:t xml:space="preserve"> анестезии зубов // </w:t>
      </w:r>
      <w:proofErr w:type="gramStart"/>
      <w:r w:rsidRPr="0024262A">
        <w:rPr>
          <w:rFonts w:ascii="Times New Roman" w:hAnsi="Times New Roman"/>
          <w:iCs/>
          <w:sz w:val="28"/>
          <w:szCs w:val="28"/>
        </w:rPr>
        <w:t>Верхневолжский</w:t>
      </w:r>
      <w:proofErr w:type="gramEnd"/>
      <w:r w:rsidRPr="0024262A">
        <w:rPr>
          <w:rFonts w:ascii="Times New Roman" w:hAnsi="Times New Roman"/>
          <w:iCs/>
          <w:sz w:val="28"/>
          <w:szCs w:val="28"/>
        </w:rPr>
        <w:t xml:space="preserve"> медицинский журнал. - 2014. - Т. 12. № 1. - С. 26-29.</w:t>
      </w:r>
    </w:p>
    <w:p w:rsidR="0024262A" w:rsidRPr="0024262A" w:rsidRDefault="0024262A" w:rsidP="0024262A">
      <w:pPr>
        <w:numPr>
          <w:ilvl w:val="0"/>
          <w:numId w:val="2"/>
        </w:numPr>
        <w:spacing w:before="0" w:after="0" w:line="240" w:lineRule="auto"/>
        <w:ind w:left="426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24262A">
        <w:rPr>
          <w:rFonts w:ascii="Times New Roman" w:hAnsi="Times New Roman"/>
          <w:iCs/>
          <w:sz w:val="28"/>
          <w:szCs w:val="28"/>
        </w:rPr>
        <w:t>Петрикас</w:t>
      </w:r>
      <w:proofErr w:type="spellEnd"/>
      <w:r w:rsidRPr="0024262A">
        <w:rPr>
          <w:rFonts w:ascii="Times New Roman" w:hAnsi="Times New Roman"/>
          <w:iCs/>
          <w:sz w:val="28"/>
          <w:szCs w:val="28"/>
        </w:rPr>
        <w:t xml:space="preserve"> А.Ж., </w:t>
      </w:r>
      <w:proofErr w:type="spellStart"/>
      <w:r w:rsidRPr="0024262A">
        <w:rPr>
          <w:rFonts w:ascii="Times New Roman" w:hAnsi="Times New Roman"/>
          <w:iCs/>
          <w:sz w:val="28"/>
          <w:szCs w:val="28"/>
        </w:rPr>
        <w:t>Петрикас</w:t>
      </w:r>
      <w:proofErr w:type="spellEnd"/>
      <w:r w:rsidRPr="0024262A">
        <w:rPr>
          <w:rFonts w:ascii="Times New Roman" w:hAnsi="Times New Roman"/>
          <w:iCs/>
          <w:sz w:val="28"/>
          <w:szCs w:val="28"/>
        </w:rPr>
        <w:t xml:space="preserve"> О.А. Красота, улыбка, искусство, стоматология (обзор литературы) // Верхневолжский медицинский журнал. - 2013. - Т. 11. - № 2. - С. 35-41.</w:t>
      </w:r>
    </w:p>
    <w:p w:rsidR="0024262A" w:rsidRPr="0024262A" w:rsidRDefault="0024262A" w:rsidP="0024262A">
      <w:pPr>
        <w:numPr>
          <w:ilvl w:val="0"/>
          <w:numId w:val="2"/>
        </w:numPr>
        <w:spacing w:before="0" w:after="0" w:line="240" w:lineRule="auto"/>
        <w:ind w:left="426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24262A">
        <w:rPr>
          <w:rFonts w:ascii="Times New Roman" w:hAnsi="Times New Roman"/>
          <w:iCs/>
          <w:sz w:val="28"/>
          <w:szCs w:val="28"/>
        </w:rPr>
        <w:t>Петрикас</w:t>
      </w:r>
      <w:proofErr w:type="spellEnd"/>
      <w:r w:rsidRPr="0024262A">
        <w:rPr>
          <w:rFonts w:ascii="Times New Roman" w:hAnsi="Times New Roman"/>
          <w:iCs/>
          <w:sz w:val="28"/>
          <w:szCs w:val="28"/>
        </w:rPr>
        <w:t xml:space="preserve"> А.Ж. Состояние зубов древнего населения тверского </w:t>
      </w:r>
      <w:proofErr w:type="spellStart"/>
      <w:r w:rsidRPr="0024262A">
        <w:rPr>
          <w:rFonts w:ascii="Times New Roman" w:hAnsi="Times New Roman"/>
          <w:iCs/>
          <w:sz w:val="28"/>
          <w:szCs w:val="28"/>
        </w:rPr>
        <w:t>поволжья</w:t>
      </w:r>
      <w:proofErr w:type="spellEnd"/>
      <w:r w:rsidRPr="0024262A">
        <w:rPr>
          <w:rFonts w:ascii="Times New Roman" w:hAnsi="Times New Roman"/>
          <w:iCs/>
          <w:sz w:val="28"/>
          <w:szCs w:val="28"/>
        </w:rPr>
        <w:t xml:space="preserve"> XI-XII веков // </w:t>
      </w:r>
      <w:proofErr w:type="gramStart"/>
      <w:r w:rsidRPr="0024262A">
        <w:rPr>
          <w:rFonts w:ascii="Times New Roman" w:hAnsi="Times New Roman"/>
          <w:iCs/>
          <w:sz w:val="28"/>
          <w:szCs w:val="28"/>
        </w:rPr>
        <w:t>Верхневолжский</w:t>
      </w:r>
      <w:proofErr w:type="gramEnd"/>
      <w:r w:rsidRPr="0024262A">
        <w:rPr>
          <w:rFonts w:ascii="Times New Roman" w:hAnsi="Times New Roman"/>
          <w:iCs/>
          <w:sz w:val="28"/>
          <w:szCs w:val="28"/>
        </w:rPr>
        <w:t xml:space="preserve"> медицинский журнал. - 2008. - Т. 6. - № 3. - С. 30-31.</w:t>
      </w:r>
    </w:p>
    <w:p w:rsidR="0024262A" w:rsidRPr="0024262A" w:rsidRDefault="0024262A" w:rsidP="0024262A">
      <w:pPr>
        <w:numPr>
          <w:ilvl w:val="0"/>
          <w:numId w:val="2"/>
        </w:numPr>
        <w:spacing w:before="0" w:after="0" w:line="240" w:lineRule="auto"/>
        <w:ind w:left="426"/>
        <w:rPr>
          <w:rFonts w:ascii="Times New Roman" w:hAnsi="Times New Roman"/>
          <w:b/>
          <w:bCs/>
          <w:iCs/>
          <w:sz w:val="28"/>
          <w:szCs w:val="28"/>
        </w:rPr>
      </w:pPr>
      <w:r w:rsidRPr="0024262A">
        <w:rPr>
          <w:rFonts w:ascii="Times New Roman" w:hAnsi="Times New Roman"/>
          <w:iCs/>
          <w:sz w:val="28"/>
          <w:szCs w:val="28"/>
        </w:rPr>
        <w:t xml:space="preserve">Жмакин И.А., Озерова И.В. История развития научно работы в Тверской государственной медицинской академии // Тверской </w:t>
      </w:r>
      <w:proofErr w:type="gramStart"/>
      <w:r w:rsidRPr="0024262A">
        <w:rPr>
          <w:rFonts w:ascii="Times New Roman" w:hAnsi="Times New Roman"/>
          <w:iCs/>
          <w:sz w:val="28"/>
          <w:szCs w:val="28"/>
        </w:rPr>
        <w:t>медицинский</w:t>
      </w:r>
      <w:proofErr w:type="gramEnd"/>
      <w:r w:rsidRPr="0024262A">
        <w:rPr>
          <w:rFonts w:ascii="Times New Roman" w:hAnsi="Times New Roman"/>
          <w:iCs/>
          <w:sz w:val="28"/>
          <w:szCs w:val="28"/>
        </w:rPr>
        <w:t xml:space="preserve"> журнал. 2014. № 6. С. 103-110</w:t>
      </w:r>
    </w:p>
    <w:p w:rsidR="0024262A" w:rsidRPr="0024262A" w:rsidRDefault="0024262A" w:rsidP="0024262A">
      <w:pPr>
        <w:numPr>
          <w:ilvl w:val="0"/>
          <w:numId w:val="2"/>
        </w:numPr>
        <w:spacing w:before="0" w:after="0" w:line="240" w:lineRule="auto"/>
        <w:ind w:left="426"/>
        <w:rPr>
          <w:rFonts w:ascii="Times New Roman" w:hAnsi="Times New Roman"/>
          <w:b/>
          <w:bCs/>
          <w:iCs/>
          <w:sz w:val="28"/>
          <w:szCs w:val="28"/>
        </w:rPr>
      </w:pPr>
      <w:r w:rsidRPr="0024262A">
        <w:rPr>
          <w:rFonts w:ascii="Times New Roman" w:hAnsi="Times New Roman"/>
          <w:iCs/>
          <w:sz w:val="28"/>
          <w:szCs w:val="28"/>
        </w:rPr>
        <w:t>Жмакин И.А., Майоров Р.В., Озерова И.В. Научная и инновационная деятельность медицинского вуза: новые подходы и пути решения // Тверской медицинский журнал. - 2014. № 6. - С. 111-122.</w:t>
      </w:r>
    </w:p>
    <w:p w:rsidR="0024262A" w:rsidRPr="0024262A" w:rsidRDefault="0024262A" w:rsidP="0024262A">
      <w:pPr>
        <w:numPr>
          <w:ilvl w:val="0"/>
          <w:numId w:val="2"/>
        </w:numPr>
        <w:spacing w:before="0" w:after="0" w:line="240" w:lineRule="auto"/>
        <w:ind w:left="426"/>
        <w:rPr>
          <w:rFonts w:ascii="Times New Roman" w:hAnsi="Times New Roman"/>
          <w:b/>
          <w:bCs/>
          <w:iCs/>
          <w:sz w:val="28"/>
          <w:szCs w:val="28"/>
        </w:rPr>
      </w:pPr>
      <w:r w:rsidRPr="0024262A">
        <w:rPr>
          <w:rFonts w:ascii="Times New Roman" w:hAnsi="Times New Roman"/>
          <w:iCs/>
          <w:sz w:val="28"/>
          <w:szCs w:val="28"/>
        </w:rPr>
        <w:t>Румянцев В.А., Денис А.Г., Суворова И.В. Механизмы фагоцитарной защиты пародонта (обзор литературы) // Верхневолжский медицинский журнал. - 2013. - Т. 11. - № 2. - С. 26-32.</w:t>
      </w:r>
    </w:p>
    <w:p w:rsidR="0024262A" w:rsidRPr="0024262A" w:rsidRDefault="0024262A" w:rsidP="0024262A">
      <w:pPr>
        <w:numPr>
          <w:ilvl w:val="0"/>
          <w:numId w:val="2"/>
        </w:numPr>
        <w:spacing w:before="0" w:after="0" w:line="240" w:lineRule="auto"/>
        <w:ind w:left="426"/>
        <w:rPr>
          <w:rFonts w:ascii="Times New Roman" w:hAnsi="Times New Roman"/>
          <w:b/>
          <w:bCs/>
          <w:iCs/>
          <w:sz w:val="28"/>
          <w:szCs w:val="28"/>
        </w:rPr>
      </w:pPr>
      <w:r w:rsidRPr="0024262A">
        <w:rPr>
          <w:rFonts w:ascii="Times New Roman" w:hAnsi="Times New Roman"/>
          <w:iCs/>
          <w:sz w:val="28"/>
          <w:szCs w:val="28"/>
        </w:rPr>
        <w:t xml:space="preserve">Румянцев В.А., </w:t>
      </w:r>
      <w:proofErr w:type="spellStart"/>
      <w:r w:rsidRPr="0024262A">
        <w:rPr>
          <w:rFonts w:ascii="Times New Roman" w:hAnsi="Times New Roman"/>
          <w:iCs/>
          <w:sz w:val="28"/>
          <w:szCs w:val="28"/>
        </w:rPr>
        <w:t>Галочкина</w:t>
      </w:r>
      <w:proofErr w:type="spellEnd"/>
      <w:r w:rsidRPr="0024262A">
        <w:rPr>
          <w:rFonts w:ascii="Times New Roman" w:hAnsi="Times New Roman"/>
          <w:iCs/>
          <w:sz w:val="28"/>
          <w:szCs w:val="28"/>
        </w:rPr>
        <w:t xml:space="preserve"> А.Б., </w:t>
      </w:r>
      <w:proofErr w:type="spellStart"/>
      <w:r w:rsidRPr="0024262A">
        <w:rPr>
          <w:rFonts w:ascii="Times New Roman" w:hAnsi="Times New Roman"/>
          <w:iCs/>
          <w:sz w:val="28"/>
          <w:szCs w:val="28"/>
        </w:rPr>
        <w:t>Закарян</w:t>
      </w:r>
      <w:proofErr w:type="spellEnd"/>
      <w:r w:rsidRPr="0024262A">
        <w:rPr>
          <w:rFonts w:ascii="Times New Roman" w:hAnsi="Times New Roman"/>
          <w:iCs/>
          <w:sz w:val="28"/>
          <w:szCs w:val="28"/>
        </w:rPr>
        <w:t xml:space="preserve"> А.В., </w:t>
      </w:r>
      <w:proofErr w:type="spellStart"/>
      <w:r w:rsidRPr="0024262A">
        <w:rPr>
          <w:rFonts w:ascii="Times New Roman" w:hAnsi="Times New Roman"/>
          <w:iCs/>
          <w:sz w:val="28"/>
          <w:szCs w:val="28"/>
        </w:rPr>
        <w:t>Жигулина</w:t>
      </w:r>
      <w:proofErr w:type="spellEnd"/>
      <w:r w:rsidRPr="0024262A">
        <w:rPr>
          <w:rFonts w:ascii="Times New Roman" w:hAnsi="Times New Roman"/>
          <w:iCs/>
          <w:sz w:val="28"/>
          <w:szCs w:val="28"/>
        </w:rPr>
        <w:t xml:space="preserve"> В.В., Суворов К.В. Оценка эффективности </w:t>
      </w:r>
      <w:proofErr w:type="spellStart"/>
      <w:r w:rsidRPr="0024262A">
        <w:rPr>
          <w:rFonts w:ascii="Times New Roman" w:hAnsi="Times New Roman"/>
          <w:iCs/>
          <w:sz w:val="28"/>
          <w:szCs w:val="28"/>
        </w:rPr>
        <w:t>мексидола</w:t>
      </w:r>
      <w:proofErr w:type="spellEnd"/>
      <w:r w:rsidRPr="0024262A">
        <w:rPr>
          <w:rFonts w:ascii="Times New Roman" w:hAnsi="Times New Roman"/>
          <w:iCs/>
          <w:sz w:val="28"/>
          <w:szCs w:val="28"/>
        </w:rPr>
        <w:t xml:space="preserve"> в лечении экспериментального гингивита (слепое контролируемое исследование) // Верхневолжский медицинский журнал. - 2013. - Т. 11. - № 1. - С. 21-24.</w:t>
      </w:r>
    </w:p>
    <w:p w:rsidR="0024262A" w:rsidRPr="0024262A" w:rsidRDefault="0024262A" w:rsidP="0024262A">
      <w:pPr>
        <w:numPr>
          <w:ilvl w:val="0"/>
          <w:numId w:val="2"/>
        </w:numPr>
        <w:spacing w:before="0" w:after="0" w:line="240" w:lineRule="auto"/>
        <w:ind w:left="426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24262A">
        <w:rPr>
          <w:rFonts w:ascii="Times New Roman" w:hAnsi="Times New Roman"/>
          <w:iCs/>
          <w:sz w:val="28"/>
          <w:szCs w:val="28"/>
        </w:rPr>
        <w:t xml:space="preserve">Гавриленко Т.А., </w:t>
      </w:r>
      <w:proofErr w:type="spellStart"/>
      <w:r w:rsidRPr="0024262A">
        <w:rPr>
          <w:rFonts w:ascii="Times New Roman" w:hAnsi="Times New Roman"/>
          <w:iCs/>
          <w:sz w:val="28"/>
          <w:szCs w:val="28"/>
        </w:rPr>
        <w:t>Жигулина</w:t>
      </w:r>
      <w:proofErr w:type="spellEnd"/>
      <w:r w:rsidRPr="0024262A">
        <w:rPr>
          <w:rFonts w:ascii="Times New Roman" w:hAnsi="Times New Roman"/>
          <w:iCs/>
          <w:sz w:val="28"/>
          <w:szCs w:val="28"/>
        </w:rPr>
        <w:t xml:space="preserve"> В.В., Румянцев В.А. Мотивация у студентов стоматологического факультета к изучению биохимии // Верхневолжский медицинский журнал. - 2012.</w:t>
      </w:r>
      <w:proofErr w:type="gramEnd"/>
      <w:r w:rsidRPr="0024262A">
        <w:rPr>
          <w:rFonts w:ascii="Times New Roman" w:hAnsi="Times New Roman"/>
          <w:iCs/>
          <w:sz w:val="28"/>
          <w:szCs w:val="28"/>
        </w:rPr>
        <w:t xml:space="preserve"> - Т. 10. - № 4. - С. 51-53.</w:t>
      </w:r>
    </w:p>
    <w:p w:rsidR="0024262A" w:rsidRPr="0024262A" w:rsidRDefault="0024262A" w:rsidP="0024262A">
      <w:pPr>
        <w:numPr>
          <w:ilvl w:val="0"/>
          <w:numId w:val="2"/>
        </w:numPr>
        <w:spacing w:before="0" w:after="0" w:line="240" w:lineRule="auto"/>
        <w:ind w:left="426"/>
        <w:rPr>
          <w:rFonts w:ascii="Times New Roman" w:hAnsi="Times New Roman"/>
          <w:b/>
          <w:bCs/>
          <w:iCs/>
          <w:sz w:val="28"/>
          <w:szCs w:val="28"/>
        </w:rPr>
      </w:pPr>
      <w:r w:rsidRPr="0024262A">
        <w:rPr>
          <w:rFonts w:ascii="Times New Roman" w:hAnsi="Times New Roman"/>
          <w:iCs/>
          <w:sz w:val="28"/>
          <w:szCs w:val="28"/>
        </w:rPr>
        <w:t>Давыдов Б.Н., Жмакин И.А., Румянцев В.А., Баканов К.Б. О научно-практической конференции центрального федерального округа российской федерации с международным участием, посвященной 75-летию тверской государственной медицинской академии и 75-летию стоматологического факультета, «социальные аспекты современной российской стоматологии: опыт, проблемы, пути решения» // Верхневолжский медицинский журнал. - 2011. - Т. 9. № 4. - С. 7-10.</w:t>
      </w:r>
    </w:p>
    <w:p w:rsidR="0024262A" w:rsidRPr="0024262A" w:rsidRDefault="0024262A" w:rsidP="0024262A">
      <w:pPr>
        <w:numPr>
          <w:ilvl w:val="0"/>
          <w:numId w:val="2"/>
        </w:numPr>
        <w:spacing w:before="0" w:after="0" w:line="240" w:lineRule="auto"/>
        <w:ind w:left="426"/>
        <w:rPr>
          <w:rFonts w:ascii="Times New Roman" w:hAnsi="Times New Roman"/>
          <w:b/>
          <w:bCs/>
          <w:iCs/>
          <w:sz w:val="28"/>
          <w:szCs w:val="28"/>
        </w:rPr>
      </w:pPr>
      <w:r w:rsidRPr="0024262A">
        <w:rPr>
          <w:rFonts w:ascii="Times New Roman" w:hAnsi="Times New Roman"/>
          <w:iCs/>
          <w:sz w:val="28"/>
          <w:szCs w:val="28"/>
        </w:rPr>
        <w:t>Румянцев В.А. Стоматологический факультет: научные достижения и перспективы // Верхневолжский медицинский журнал. - 2011. - Т. 9. - № 4. - С. 30-35.</w:t>
      </w:r>
    </w:p>
    <w:p w:rsidR="0024262A" w:rsidRPr="0024262A" w:rsidRDefault="0024262A" w:rsidP="00301C0A">
      <w:pPr>
        <w:spacing w:before="0" w:after="0" w:line="240" w:lineRule="auto"/>
        <w:ind w:left="0"/>
        <w:rPr>
          <w:rFonts w:ascii="Times New Roman" w:hAnsi="Times New Roman"/>
          <w:iCs/>
          <w:sz w:val="28"/>
          <w:szCs w:val="28"/>
        </w:rPr>
      </w:pPr>
    </w:p>
    <w:p w:rsidR="00301C0A" w:rsidRPr="0024262A" w:rsidRDefault="00301C0A" w:rsidP="00301C0A">
      <w:pPr>
        <w:spacing w:before="0" w:after="0" w:line="240" w:lineRule="auto"/>
        <w:ind w:left="0"/>
        <w:rPr>
          <w:rFonts w:ascii="Times New Roman" w:hAnsi="Times New Roman"/>
          <w:iCs/>
          <w:sz w:val="20"/>
          <w:szCs w:val="20"/>
        </w:rPr>
      </w:pPr>
    </w:p>
    <w:p w:rsidR="0024262A" w:rsidRPr="007D1D23" w:rsidRDefault="0024262A" w:rsidP="00301C0A">
      <w:pPr>
        <w:spacing w:before="0" w:after="0" w:line="240" w:lineRule="auto"/>
        <w:ind w:left="0"/>
        <w:rPr>
          <w:rFonts w:ascii="Times New Roman" w:hAnsi="Times New Roman"/>
          <w:i/>
          <w:iCs/>
          <w:sz w:val="20"/>
          <w:szCs w:val="20"/>
        </w:rPr>
      </w:pPr>
    </w:p>
    <w:p w:rsidR="0006575E" w:rsidRDefault="0006575E">
      <w:bookmarkStart w:id="0" w:name="_GoBack"/>
      <w:bookmarkEnd w:id="0"/>
    </w:p>
    <w:sectPr w:rsidR="0006575E" w:rsidSect="001A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6CC2"/>
    <w:multiLevelType w:val="hybridMultilevel"/>
    <w:tmpl w:val="4B0A3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A38E0"/>
    <w:multiLevelType w:val="hybridMultilevel"/>
    <w:tmpl w:val="CFEC1A48"/>
    <w:lvl w:ilvl="0" w:tplc="FFEA4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02574"/>
    <w:rsid w:val="00002574"/>
    <w:rsid w:val="0006575E"/>
    <w:rsid w:val="001A0E36"/>
    <w:rsid w:val="0024262A"/>
    <w:rsid w:val="00301C0A"/>
    <w:rsid w:val="00947265"/>
    <w:rsid w:val="00C152D6"/>
    <w:rsid w:val="00DF1662"/>
    <w:rsid w:val="00E66540"/>
    <w:rsid w:val="00E7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0A"/>
    <w:pPr>
      <w:spacing w:before="6014"/>
      <w:ind w:left="17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0A"/>
    <w:pPr>
      <w:spacing w:before="6014"/>
      <w:ind w:left="17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1970</Words>
  <Characters>11230</Characters>
  <Application>Microsoft Office Word</Application>
  <DocSecurity>0</DocSecurity>
  <Lines>93</Lines>
  <Paragraphs>26</Paragraphs>
  <ScaleCrop>false</ScaleCrop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А. Жмакин</dc:creator>
  <cp:keywords/>
  <dc:description/>
  <cp:lastModifiedBy>Home</cp:lastModifiedBy>
  <cp:revision>6</cp:revision>
  <dcterms:created xsi:type="dcterms:W3CDTF">2013-07-29T10:40:00Z</dcterms:created>
  <dcterms:modified xsi:type="dcterms:W3CDTF">2014-12-07T19:22:00Z</dcterms:modified>
</cp:coreProperties>
</file>