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УДК 617.7(07.07)</w:t>
      </w:r>
    </w:p>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 xml:space="preserve">В.Н. </w:t>
      </w:r>
      <w:proofErr w:type="spellStart"/>
      <w:r w:rsidRPr="00B333F8">
        <w:rPr>
          <w:rFonts w:ascii="Times New Roman" w:hAnsi="Times New Roman"/>
          <w:sz w:val="28"/>
          <w:szCs w:val="28"/>
        </w:rPr>
        <w:t>Голычев</w:t>
      </w:r>
      <w:proofErr w:type="spellEnd"/>
    </w:p>
    <w:p w:rsidR="00EB01E0" w:rsidRPr="00B333F8" w:rsidRDefault="00EB01E0" w:rsidP="00B333F8">
      <w:pPr>
        <w:spacing w:before="0" w:after="0" w:line="240" w:lineRule="auto"/>
        <w:ind w:left="0"/>
        <w:jc w:val="both"/>
        <w:rPr>
          <w:rFonts w:ascii="Times New Roman" w:hAnsi="Times New Roman"/>
          <w:b/>
          <w:sz w:val="28"/>
          <w:szCs w:val="28"/>
        </w:rPr>
      </w:pPr>
      <w:r w:rsidRPr="00B333F8">
        <w:rPr>
          <w:rFonts w:ascii="Times New Roman" w:hAnsi="Times New Roman"/>
          <w:b/>
          <w:sz w:val="28"/>
          <w:szCs w:val="28"/>
        </w:rPr>
        <w:t>ОЦЕНК</w:t>
      </w:r>
      <w:r w:rsidR="001E0F4C">
        <w:rPr>
          <w:rFonts w:ascii="Times New Roman" w:hAnsi="Times New Roman"/>
          <w:b/>
          <w:sz w:val="28"/>
          <w:szCs w:val="28"/>
        </w:rPr>
        <w:t>А</w:t>
      </w:r>
      <w:r w:rsidRPr="00B333F8">
        <w:rPr>
          <w:rFonts w:ascii="Times New Roman" w:hAnsi="Times New Roman"/>
          <w:b/>
          <w:sz w:val="28"/>
          <w:szCs w:val="28"/>
        </w:rPr>
        <w:t xml:space="preserve"> ЭФФЕКТИВНОСТИ ПРОВЕДЕНИЯ ЦИКЛОВЫХ ПРАКТИЧЕСКИХ ЗАНЯТИЙ В МЕДИЦИНСКОМ ВУЗе</w:t>
      </w:r>
    </w:p>
    <w:p w:rsidR="00EB01E0"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 xml:space="preserve">Кафедра офтальмологии ГБОУ ВПО </w:t>
      </w:r>
      <w:proofErr w:type="gramStart"/>
      <w:r w:rsidRPr="00B333F8">
        <w:rPr>
          <w:rFonts w:ascii="Times New Roman" w:hAnsi="Times New Roman"/>
          <w:sz w:val="28"/>
          <w:szCs w:val="28"/>
        </w:rPr>
        <w:t>Тверская</w:t>
      </w:r>
      <w:proofErr w:type="gramEnd"/>
      <w:r w:rsidRPr="00B333F8">
        <w:rPr>
          <w:rFonts w:ascii="Times New Roman" w:hAnsi="Times New Roman"/>
          <w:sz w:val="28"/>
          <w:szCs w:val="28"/>
        </w:rPr>
        <w:t xml:space="preserve"> ГМА Минздрава России</w:t>
      </w:r>
    </w:p>
    <w:p w:rsidR="00B333F8" w:rsidRPr="00B333F8" w:rsidRDefault="00B333F8" w:rsidP="00B333F8">
      <w:pPr>
        <w:spacing w:before="0" w:after="0" w:line="240" w:lineRule="auto"/>
        <w:ind w:left="0"/>
        <w:jc w:val="both"/>
        <w:rPr>
          <w:rFonts w:ascii="Times New Roman" w:hAnsi="Times New Roman"/>
          <w:sz w:val="28"/>
          <w:szCs w:val="28"/>
        </w:rPr>
      </w:pPr>
    </w:p>
    <w:p w:rsidR="00EB01E0" w:rsidRPr="00B333F8" w:rsidRDefault="00EB01E0" w:rsidP="00B333F8">
      <w:pPr>
        <w:spacing w:before="0" w:after="0" w:line="240" w:lineRule="auto"/>
        <w:ind w:left="0"/>
        <w:jc w:val="both"/>
        <w:rPr>
          <w:rFonts w:ascii="Times New Roman" w:hAnsi="Times New Roman"/>
          <w:i/>
          <w:sz w:val="28"/>
          <w:szCs w:val="28"/>
        </w:rPr>
      </w:pPr>
      <w:r w:rsidRPr="00B333F8">
        <w:rPr>
          <w:rFonts w:ascii="Times New Roman" w:hAnsi="Times New Roman"/>
          <w:i/>
          <w:sz w:val="28"/>
          <w:szCs w:val="28"/>
        </w:rPr>
        <w:t>На основании 5</w:t>
      </w:r>
      <w:r w:rsidRPr="00B333F8">
        <w:rPr>
          <w:rFonts w:ascii="Times New Roman" w:hAnsi="Times New Roman"/>
          <w:i/>
          <w:sz w:val="28"/>
          <w:szCs w:val="28"/>
        </w:rPr>
        <w:softHyphen/>
        <w:t>летнего изучения результатов опросов преподавателем студентов на практических занятиях и результатов среднего экзаменационного балла предложен показатель эффективности преподавания (ПЭП), который, по мнению автора, характеризует работу преподавателя в цикле и может способствовать совершенствованию учебного процесса на кафедре.</w:t>
      </w:r>
    </w:p>
    <w:p w:rsidR="00EB01E0" w:rsidRPr="00B333F8" w:rsidRDefault="00EB01E0" w:rsidP="00B333F8">
      <w:pPr>
        <w:spacing w:before="0" w:after="0" w:line="240" w:lineRule="auto"/>
        <w:ind w:left="0"/>
        <w:jc w:val="both"/>
        <w:rPr>
          <w:rFonts w:ascii="Times New Roman" w:hAnsi="Times New Roman"/>
          <w:i/>
          <w:sz w:val="28"/>
          <w:szCs w:val="28"/>
        </w:rPr>
      </w:pPr>
      <w:r w:rsidRPr="00B333F8">
        <w:rPr>
          <w:rFonts w:ascii="Times New Roman" w:hAnsi="Times New Roman"/>
          <w:b/>
          <w:i/>
          <w:iCs/>
          <w:sz w:val="28"/>
          <w:szCs w:val="28"/>
        </w:rPr>
        <w:t>Ключевые слова:</w:t>
      </w:r>
      <w:r w:rsidRPr="00B333F8">
        <w:rPr>
          <w:rFonts w:ascii="Times New Roman" w:hAnsi="Times New Roman"/>
          <w:i/>
          <w:sz w:val="28"/>
          <w:szCs w:val="28"/>
        </w:rPr>
        <w:t xml:space="preserve"> учебный процесс, опрос студентов, средний экзаменационный балл, показатель эффективности преподавания.</w:t>
      </w:r>
    </w:p>
    <w:p w:rsidR="00EB01E0" w:rsidRPr="00B333F8" w:rsidRDefault="00EB01E0" w:rsidP="00B333F8">
      <w:pPr>
        <w:spacing w:before="0" w:after="0" w:line="240" w:lineRule="auto"/>
        <w:ind w:left="0"/>
        <w:jc w:val="both"/>
        <w:rPr>
          <w:rFonts w:ascii="Times New Roman" w:hAnsi="Times New Roman"/>
          <w:sz w:val="28"/>
          <w:szCs w:val="28"/>
        </w:rPr>
      </w:pPr>
    </w:p>
    <w:p w:rsidR="00EB01E0" w:rsidRPr="00B333F8" w:rsidRDefault="00B333F8" w:rsidP="00B333F8">
      <w:pPr>
        <w:spacing w:before="0" w:after="0" w:line="240" w:lineRule="auto"/>
        <w:ind w:left="0"/>
        <w:jc w:val="both"/>
        <w:rPr>
          <w:rFonts w:ascii="Times New Roman" w:hAnsi="Times New Roman"/>
          <w:b/>
          <w:sz w:val="28"/>
          <w:szCs w:val="28"/>
          <w:lang w:val="en-US"/>
        </w:rPr>
      </w:pPr>
      <w:r w:rsidRPr="00B333F8">
        <w:rPr>
          <w:rFonts w:ascii="Times New Roman" w:hAnsi="Times New Roman"/>
          <w:b/>
          <w:sz w:val="28"/>
          <w:szCs w:val="28"/>
          <w:lang w:val="en-US"/>
        </w:rPr>
        <w:t>ON FEASIBILITY OF EFFICIENCY ESTIMATION OF CARRYING OUT CYCLIC PRACTICAL STUDIES AT MEDICAL HIGHER INSTITUTION</w:t>
      </w:r>
    </w:p>
    <w:p w:rsidR="00EB01E0" w:rsidRPr="00B333F8" w:rsidRDefault="00EB01E0" w:rsidP="00B333F8">
      <w:pPr>
        <w:spacing w:before="0" w:after="0" w:line="240" w:lineRule="auto"/>
        <w:ind w:left="0"/>
        <w:jc w:val="both"/>
        <w:rPr>
          <w:rFonts w:ascii="Times New Roman" w:hAnsi="Times New Roman"/>
          <w:sz w:val="28"/>
          <w:szCs w:val="28"/>
          <w:lang w:val="en-US"/>
        </w:rPr>
      </w:pPr>
      <w:r w:rsidRPr="00B333F8">
        <w:rPr>
          <w:rFonts w:ascii="Times New Roman" w:hAnsi="Times New Roman"/>
          <w:sz w:val="28"/>
          <w:szCs w:val="28"/>
          <w:lang w:val="en-US"/>
        </w:rPr>
        <w:t xml:space="preserve">V.M. </w:t>
      </w:r>
      <w:proofErr w:type="spellStart"/>
      <w:r w:rsidRPr="00B333F8">
        <w:rPr>
          <w:rFonts w:ascii="Times New Roman" w:hAnsi="Times New Roman"/>
          <w:sz w:val="28"/>
          <w:szCs w:val="28"/>
          <w:lang w:val="en-US"/>
        </w:rPr>
        <w:t>Golychev</w:t>
      </w:r>
      <w:proofErr w:type="spellEnd"/>
    </w:p>
    <w:p w:rsidR="00EB01E0" w:rsidRPr="00B333F8" w:rsidRDefault="00EB01E0" w:rsidP="00B333F8">
      <w:pPr>
        <w:spacing w:before="0" w:after="0" w:line="240" w:lineRule="auto"/>
        <w:ind w:left="0"/>
        <w:jc w:val="both"/>
        <w:rPr>
          <w:rFonts w:ascii="Times New Roman" w:hAnsi="Times New Roman"/>
          <w:sz w:val="28"/>
          <w:szCs w:val="28"/>
          <w:lang w:val="en-US"/>
        </w:rPr>
      </w:pPr>
      <w:r w:rsidRPr="00B333F8">
        <w:rPr>
          <w:rFonts w:ascii="Times New Roman" w:hAnsi="Times New Roman"/>
          <w:sz w:val="28"/>
          <w:szCs w:val="28"/>
          <w:lang w:val="en-US"/>
        </w:rPr>
        <w:t xml:space="preserve">Department of ophthalmology of SBEI HPE </w:t>
      </w:r>
      <w:proofErr w:type="spellStart"/>
      <w:r w:rsidRPr="00B333F8">
        <w:rPr>
          <w:rFonts w:ascii="Times New Roman" w:hAnsi="Times New Roman"/>
          <w:sz w:val="28"/>
          <w:szCs w:val="28"/>
          <w:lang w:val="en-US"/>
        </w:rPr>
        <w:t>Tver</w:t>
      </w:r>
      <w:proofErr w:type="spellEnd"/>
      <w:r w:rsidRPr="00B333F8">
        <w:rPr>
          <w:rFonts w:ascii="Times New Roman" w:hAnsi="Times New Roman"/>
          <w:sz w:val="28"/>
          <w:szCs w:val="28"/>
          <w:lang w:val="en-US"/>
        </w:rPr>
        <w:t xml:space="preserve"> SMA of Health Ministry of Russia</w:t>
      </w:r>
    </w:p>
    <w:p w:rsidR="00B333F8" w:rsidRPr="001E0F4C" w:rsidRDefault="00B333F8" w:rsidP="00B333F8">
      <w:pPr>
        <w:spacing w:before="0" w:after="0" w:line="240" w:lineRule="auto"/>
        <w:ind w:left="0"/>
        <w:jc w:val="both"/>
        <w:rPr>
          <w:rFonts w:ascii="Times New Roman" w:hAnsi="Times New Roman"/>
          <w:sz w:val="28"/>
          <w:szCs w:val="28"/>
          <w:lang w:val="en-US"/>
        </w:rPr>
      </w:pPr>
    </w:p>
    <w:p w:rsidR="00EB01E0" w:rsidRPr="00B333F8" w:rsidRDefault="00EB01E0" w:rsidP="00B333F8">
      <w:pPr>
        <w:spacing w:before="0" w:after="0" w:line="240" w:lineRule="auto"/>
        <w:ind w:left="0"/>
        <w:jc w:val="both"/>
        <w:rPr>
          <w:rFonts w:ascii="Times New Roman" w:hAnsi="Times New Roman"/>
          <w:i/>
          <w:sz w:val="28"/>
          <w:szCs w:val="28"/>
          <w:lang w:val="en-US"/>
        </w:rPr>
      </w:pPr>
      <w:r w:rsidRPr="00B333F8">
        <w:rPr>
          <w:rFonts w:ascii="Times New Roman" w:hAnsi="Times New Roman"/>
          <w:i/>
          <w:sz w:val="28"/>
          <w:szCs w:val="28"/>
          <w:lang w:val="en-US"/>
        </w:rPr>
        <w:t>On the basis of 5</w:t>
      </w:r>
      <w:r w:rsidR="00B333F8" w:rsidRPr="00B333F8">
        <w:rPr>
          <w:rFonts w:ascii="Times New Roman" w:hAnsi="Times New Roman"/>
          <w:i/>
          <w:sz w:val="28"/>
          <w:szCs w:val="28"/>
          <w:lang w:val="en-US"/>
        </w:rPr>
        <w:t xml:space="preserve"> </w:t>
      </w:r>
      <w:r w:rsidRPr="00B333F8">
        <w:rPr>
          <w:rFonts w:ascii="Times New Roman" w:hAnsi="Times New Roman"/>
          <w:i/>
          <w:sz w:val="28"/>
          <w:szCs w:val="28"/>
          <w:lang w:val="en-US"/>
        </w:rPr>
        <w:t xml:space="preserve">year studies of the results of the students questioning by the teacher at practical lessons and the results of average examination mark, an index of teaching efficiency (ITE) is proposed that in the </w:t>
      </w:r>
      <w:proofErr w:type="spellStart"/>
      <w:r w:rsidRPr="00B333F8">
        <w:rPr>
          <w:rFonts w:ascii="Times New Roman" w:hAnsi="Times New Roman"/>
          <w:i/>
          <w:sz w:val="28"/>
          <w:szCs w:val="28"/>
          <w:lang w:val="en-US"/>
        </w:rPr>
        <w:t>author</w:t>
      </w:r>
      <w:r w:rsidRPr="00B333F8">
        <w:rPr>
          <w:rFonts w:ascii="Times New Roman" w:hAnsi="Times New Roman"/>
          <w:i/>
          <w:sz w:val="28"/>
          <w:szCs w:val="28"/>
          <w:vertAlign w:val="superscript"/>
          <w:lang w:val="en-US"/>
        </w:rPr>
        <w:t>,</w:t>
      </w:r>
      <w:r w:rsidRPr="00B333F8">
        <w:rPr>
          <w:rFonts w:ascii="Times New Roman" w:hAnsi="Times New Roman"/>
          <w:i/>
          <w:sz w:val="28"/>
          <w:szCs w:val="28"/>
          <w:lang w:val="en-US"/>
        </w:rPr>
        <w:t>s</w:t>
      </w:r>
      <w:proofErr w:type="spellEnd"/>
      <w:r w:rsidRPr="00B333F8">
        <w:rPr>
          <w:rFonts w:ascii="Times New Roman" w:hAnsi="Times New Roman"/>
          <w:i/>
          <w:sz w:val="28"/>
          <w:szCs w:val="28"/>
          <w:lang w:val="en-US"/>
        </w:rPr>
        <w:t xml:space="preserve"> opinion characterizes a </w:t>
      </w:r>
      <w:proofErr w:type="spellStart"/>
      <w:r w:rsidRPr="00B333F8">
        <w:rPr>
          <w:rFonts w:ascii="Times New Roman" w:hAnsi="Times New Roman"/>
          <w:i/>
          <w:sz w:val="28"/>
          <w:szCs w:val="28"/>
          <w:lang w:val="en-US"/>
        </w:rPr>
        <w:t>teacher</w:t>
      </w:r>
      <w:r w:rsidRPr="00B333F8">
        <w:rPr>
          <w:rFonts w:ascii="Times New Roman" w:hAnsi="Times New Roman"/>
          <w:i/>
          <w:sz w:val="28"/>
          <w:szCs w:val="28"/>
          <w:vertAlign w:val="superscript"/>
          <w:lang w:val="en-US"/>
        </w:rPr>
        <w:t>,</w:t>
      </w:r>
      <w:r w:rsidRPr="00B333F8">
        <w:rPr>
          <w:rFonts w:ascii="Times New Roman" w:hAnsi="Times New Roman"/>
          <w:i/>
          <w:sz w:val="28"/>
          <w:szCs w:val="28"/>
          <w:lang w:val="en-US"/>
        </w:rPr>
        <w:t>s</w:t>
      </w:r>
      <w:proofErr w:type="spellEnd"/>
      <w:r w:rsidRPr="00B333F8">
        <w:rPr>
          <w:rFonts w:ascii="Times New Roman" w:hAnsi="Times New Roman"/>
          <w:i/>
          <w:sz w:val="28"/>
          <w:szCs w:val="28"/>
          <w:lang w:val="en-US"/>
        </w:rPr>
        <w:t xml:space="preserve"> work during a cycle and may promote to perfect the study process at the Department.</w:t>
      </w:r>
    </w:p>
    <w:p w:rsidR="00EB01E0" w:rsidRPr="00B333F8" w:rsidRDefault="00EB01E0" w:rsidP="00B333F8">
      <w:pPr>
        <w:spacing w:before="0" w:after="0" w:line="240" w:lineRule="auto"/>
        <w:ind w:left="0"/>
        <w:jc w:val="both"/>
        <w:rPr>
          <w:rFonts w:ascii="Times New Roman" w:hAnsi="Times New Roman"/>
          <w:i/>
          <w:sz w:val="28"/>
          <w:szCs w:val="28"/>
          <w:lang w:val="en-US"/>
        </w:rPr>
      </w:pPr>
      <w:r w:rsidRPr="00B333F8">
        <w:rPr>
          <w:rFonts w:ascii="Times New Roman" w:hAnsi="Times New Roman"/>
          <w:b/>
          <w:i/>
          <w:sz w:val="28"/>
          <w:szCs w:val="28"/>
          <w:lang w:val="en-US"/>
        </w:rPr>
        <w:t>Key words:</w:t>
      </w:r>
      <w:r w:rsidRPr="00B333F8">
        <w:rPr>
          <w:rFonts w:ascii="Times New Roman" w:hAnsi="Times New Roman"/>
          <w:i/>
          <w:sz w:val="28"/>
          <w:szCs w:val="28"/>
          <w:lang w:val="en-US"/>
        </w:rPr>
        <w:t xml:space="preserve"> educational process, poll of students, average examination point, indicator efficiency of teaching.</w:t>
      </w:r>
    </w:p>
    <w:p w:rsidR="00EB01E0" w:rsidRPr="00B333F8" w:rsidRDefault="00EB01E0" w:rsidP="00B333F8">
      <w:pPr>
        <w:spacing w:before="0" w:after="0" w:line="240" w:lineRule="auto"/>
        <w:ind w:left="0"/>
        <w:jc w:val="both"/>
        <w:rPr>
          <w:rFonts w:ascii="Times New Roman" w:hAnsi="Times New Roman"/>
          <w:sz w:val="28"/>
          <w:szCs w:val="28"/>
          <w:lang w:val="en-US"/>
        </w:rPr>
      </w:pPr>
    </w:p>
    <w:p w:rsidR="00EB01E0" w:rsidRPr="00B333F8" w:rsidRDefault="00EB01E0" w:rsidP="00B333F8">
      <w:pPr>
        <w:spacing w:before="0" w:after="0" w:line="240" w:lineRule="auto"/>
        <w:ind w:left="0"/>
        <w:jc w:val="both"/>
        <w:rPr>
          <w:rFonts w:ascii="Times New Roman" w:hAnsi="Times New Roman"/>
          <w:sz w:val="28"/>
          <w:szCs w:val="28"/>
          <w:lang w:val="en-US"/>
        </w:rPr>
      </w:pPr>
    </w:p>
    <w:p w:rsidR="00EB01E0" w:rsidRPr="00B333F8" w:rsidRDefault="00EB01E0" w:rsidP="00B333F8">
      <w:pPr>
        <w:spacing w:before="0" w:after="0" w:line="240" w:lineRule="auto"/>
        <w:ind w:left="0"/>
        <w:jc w:val="both"/>
        <w:rPr>
          <w:rFonts w:ascii="Times New Roman" w:hAnsi="Times New Roman"/>
          <w:spacing w:val="-4"/>
          <w:sz w:val="28"/>
          <w:szCs w:val="28"/>
        </w:rPr>
      </w:pPr>
      <w:r w:rsidRPr="00B333F8">
        <w:rPr>
          <w:rFonts w:ascii="Times New Roman" w:hAnsi="Times New Roman"/>
          <w:spacing w:val="-4"/>
          <w:sz w:val="28"/>
          <w:szCs w:val="28"/>
        </w:rPr>
        <w:t xml:space="preserve">Значительную, если не основную, часть знаний и весь комплекс практических навыков по глазным болезням студенты медицинского ВУЗа приобретают в </w:t>
      </w:r>
      <w:proofErr w:type="gramStart"/>
      <w:r w:rsidRPr="00B333F8">
        <w:rPr>
          <w:rFonts w:ascii="Times New Roman" w:hAnsi="Times New Roman"/>
          <w:spacing w:val="-4"/>
          <w:sz w:val="28"/>
          <w:szCs w:val="28"/>
        </w:rPr>
        <w:t>процессе</w:t>
      </w:r>
      <w:proofErr w:type="gramEnd"/>
      <w:r w:rsidRPr="00B333F8">
        <w:rPr>
          <w:rFonts w:ascii="Times New Roman" w:hAnsi="Times New Roman"/>
          <w:spacing w:val="-4"/>
          <w:sz w:val="28"/>
          <w:szCs w:val="28"/>
        </w:rPr>
        <w:t xml:space="preserve"> соответствующих цикловых занятий. С различными студенческими группами занимаются различные преподаватели (ассистенты, доценты) кафедры. Естественно, что уровень их педагогического мастерства и самоотдачи в </w:t>
      </w:r>
      <w:proofErr w:type="gramStart"/>
      <w:r w:rsidRPr="00B333F8">
        <w:rPr>
          <w:rFonts w:ascii="Times New Roman" w:hAnsi="Times New Roman"/>
          <w:spacing w:val="-4"/>
          <w:sz w:val="28"/>
          <w:szCs w:val="28"/>
        </w:rPr>
        <w:t>процессе</w:t>
      </w:r>
      <w:proofErr w:type="gramEnd"/>
      <w:r w:rsidRPr="00B333F8">
        <w:rPr>
          <w:rFonts w:ascii="Times New Roman" w:hAnsi="Times New Roman"/>
          <w:spacing w:val="-4"/>
          <w:sz w:val="28"/>
          <w:szCs w:val="28"/>
        </w:rPr>
        <w:t xml:space="preserve"> преподавания неодинаковы.</w:t>
      </w:r>
    </w:p>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 xml:space="preserve">Идеальным критерием эффективности проведенного преподавателем цикла явилось бы качество работы бывшего студента в роли врача – специалиста. Однако для кафедры офтальмологии это нереально, так как в процессе работы </w:t>
      </w:r>
      <w:proofErr w:type="spellStart"/>
      <w:r w:rsidRPr="00B333F8">
        <w:rPr>
          <w:rFonts w:ascii="Times New Roman" w:hAnsi="Times New Roman"/>
          <w:sz w:val="28"/>
          <w:szCs w:val="28"/>
        </w:rPr>
        <w:t>врачи­офтальмологи</w:t>
      </w:r>
      <w:proofErr w:type="spellEnd"/>
      <w:r w:rsidRPr="00B333F8">
        <w:rPr>
          <w:rFonts w:ascii="Times New Roman" w:hAnsi="Times New Roman"/>
          <w:sz w:val="28"/>
          <w:szCs w:val="28"/>
        </w:rPr>
        <w:t>, бывшие студенты, пользуются знаниями и умениями, полученными ими во время прохождения интернатуры или клинической ординатуры, а не студенческого цикла по офтальмологии. К тому же окулистами становятся немногие.</w:t>
      </w:r>
    </w:p>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 xml:space="preserve">Более реальным критерием качества подготовки студентов по глазным болезням являются результаты сдачи ими экзамена по офтальмологии. </w:t>
      </w:r>
      <w:r w:rsidRPr="00B333F8">
        <w:rPr>
          <w:rFonts w:ascii="Times New Roman" w:hAnsi="Times New Roman"/>
          <w:sz w:val="28"/>
          <w:szCs w:val="28"/>
        </w:rPr>
        <w:lastRenderedPageBreak/>
        <w:t>Однако и здесь налицо случайный фактор: имеет значение, с какими группами (сильными или слабыми) пришлось работать преподавателю.</w:t>
      </w:r>
    </w:p>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На наш взгляд, довольно объективным критерием качества подготовки преподавателем студентов на протяжении цикла офтальмологии явилась бы разность между средним экзаменационным баллом студентов всех групп, которые провел данный преподаватель, и средней оценкой успеваемости этих же студентов на цикле глазных болезней. Эту разность мы назвали показателем эффективности преподавания (ПЭП).</w:t>
      </w:r>
    </w:p>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 xml:space="preserve">Поставлена </w:t>
      </w:r>
      <w:r w:rsidRPr="00B333F8">
        <w:rPr>
          <w:rFonts w:ascii="Times New Roman" w:hAnsi="Times New Roman"/>
          <w:b/>
          <w:bCs/>
          <w:sz w:val="28"/>
          <w:szCs w:val="28"/>
        </w:rPr>
        <w:t>цель</w:t>
      </w:r>
      <w:r w:rsidRPr="00B333F8">
        <w:rPr>
          <w:rFonts w:ascii="Times New Roman" w:hAnsi="Times New Roman"/>
          <w:sz w:val="28"/>
          <w:szCs w:val="28"/>
        </w:rPr>
        <w:t>: изучить значения ПЭП в общей оценке практических занятий.</w:t>
      </w:r>
    </w:p>
    <w:p w:rsidR="00EB01E0" w:rsidRPr="00B333F8" w:rsidRDefault="00EB01E0" w:rsidP="00B333F8">
      <w:pPr>
        <w:spacing w:before="0" w:after="0" w:line="240" w:lineRule="auto"/>
        <w:ind w:left="0"/>
        <w:jc w:val="both"/>
        <w:rPr>
          <w:rFonts w:ascii="Times New Roman" w:hAnsi="Times New Roman"/>
          <w:sz w:val="28"/>
          <w:szCs w:val="28"/>
        </w:rPr>
      </w:pPr>
    </w:p>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Материал и методы</w:t>
      </w:r>
    </w:p>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В работе использован материал работы со студентами 5 курса лечебного факультета КГМИ более чем 20</w:t>
      </w:r>
      <w:r w:rsidRPr="00B333F8">
        <w:rPr>
          <w:rFonts w:ascii="Times New Roman" w:hAnsi="Times New Roman"/>
          <w:sz w:val="28"/>
          <w:szCs w:val="28"/>
        </w:rPr>
        <w:softHyphen/>
        <w:t>летней давности, когда преподавание офтальмологии велось в одном семестре. На основании опроса этих студентов на практических занятиях преподавателем и их среднего экзаменационного балла и был выведен показатель эффективности преподавания. Однако он использовался всего лишь несколько лет, так как изменились министерские программы. Половину курса офтальмологии стали преподавать на четвертом курсе, а другую половину – на пятом. В результате чего и преподаватели у групп на 4</w:t>
      </w:r>
      <w:r w:rsidRPr="00B333F8">
        <w:rPr>
          <w:rFonts w:ascii="Times New Roman" w:hAnsi="Times New Roman"/>
          <w:sz w:val="28"/>
          <w:szCs w:val="28"/>
        </w:rPr>
        <w:softHyphen/>
        <w:t>м и 5</w:t>
      </w:r>
      <w:r w:rsidRPr="00B333F8">
        <w:rPr>
          <w:rFonts w:ascii="Times New Roman" w:hAnsi="Times New Roman"/>
          <w:sz w:val="28"/>
          <w:szCs w:val="28"/>
        </w:rPr>
        <w:softHyphen/>
        <w:t>м курсах оказывались разные. Поэтому выявление ПЭП в этих условиях оказалось бессмысленным. По новым учебным программам преподавание офтальмологии планируется на одном курсе, поэтому поднятый в данной работе вопрос будет вновь актуальным, а может быть, его заметят и используют на других кафедрах.</w:t>
      </w:r>
    </w:p>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 xml:space="preserve">Как известно, в </w:t>
      </w:r>
      <w:proofErr w:type="gramStart"/>
      <w:r w:rsidRPr="00B333F8">
        <w:rPr>
          <w:rFonts w:ascii="Times New Roman" w:hAnsi="Times New Roman"/>
          <w:sz w:val="28"/>
          <w:szCs w:val="28"/>
        </w:rPr>
        <w:t>процессе</w:t>
      </w:r>
      <w:proofErr w:type="gramEnd"/>
      <w:r w:rsidRPr="00B333F8">
        <w:rPr>
          <w:rFonts w:ascii="Times New Roman" w:hAnsi="Times New Roman"/>
          <w:sz w:val="28"/>
          <w:szCs w:val="28"/>
        </w:rPr>
        <w:t xml:space="preserve"> практических занятий по офтальмологии студентам могут выставляться оценки: за написание академической истории болезни, по тестам исходного и заключительного уровней, освоению практических навыков и, конечно, методом традиционного опроса по теме практического занятия. На нашей кафедре на каждом занятии в среднем опрашивается 5–7 студентов. Наш опыт показывает, что именно эти оценки, выставленные в </w:t>
      </w:r>
      <w:proofErr w:type="gramStart"/>
      <w:r w:rsidRPr="00B333F8">
        <w:rPr>
          <w:rFonts w:ascii="Times New Roman" w:hAnsi="Times New Roman"/>
          <w:sz w:val="28"/>
          <w:szCs w:val="28"/>
        </w:rPr>
        <w:t>процессе</w:t>
      </w:r>
      <w:proofErr w:type="gramEnd"/>
      <w:r w:rsidRPr="00B333F8">
        <w:rPr>
          <w:rFonts w:ascii="Times New Roman" w:hAnsi="Times New Roman"/>
          <w:sz w:val="28"/>
          <w:szCs w:val="28"/>
        </w:rPr>
        <w:t xml:space="preserve"> традиционного опроса в виде их среднего балла, наиболее точно характеризуют успеваемость студентов в течение цикла. Именно этот средний балл и характеризует своеобразный интеллектуальный уровень группы (или групп) студентов и должен сопоставляться с их средним экзаменационным баллом по офтальмологии.</w:t>
      </w:r>
    </w:p>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В таблице приведены результаты успеваемости 1451 студента пятых курсов лечебного факультета при прохождении цикла глазных болезней (опросный балл) и экзаменационных сессии за 5 лет (1984–1989 гг.) по кафедре в целом и отдельным преподавателям.</w:t>
      </w:r>
    </w:p>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Полученные результаты обработаны с помощью методов вариационной статистики.</w:t>
      </w:r>
    </w:p>
    <w:p w:rsidR="00EB01E0" w:rsidRPr="00B333F8" w:rsidRDefault="00EB01E0" w:rsidP="00B333F8">
      <w:pPr>
        <w:spacing w:before="0" w:after="0" w:line="240" w:lineRule="auto"/>
        <w:ind w:left="0"/>
        <w:jc w:val="both"/>
        <w:rPr>
          <w:rFonts w:ascii="Times New Roman" w:hAnsi="Times New Roman"/>
          <w:sz w:val="28"/>
          <w:szCs w:val="28"/>
        </w:rPr>
      </w:pPr>
    </w:p>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Результаты и их обсуждение</w:t>
      </w:r>
    </w:p>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Как и следовало ожидать, средний экзаменационный балл (4,1 ± 0,02) оказался несколько выше опросного (4,04 ± 0,008). Разница статистически достоверна (</w:t>
      </w:r>
      <w:r w:rsidRPr="00B333F8">
        <w:rPr>
          <w:rFonts w:ascii="Times New Roman" w:hAnsi="Times New Roman"/>
          <w:sz w:val="28"/>
          <w:szCs w:val="28"/>
          <w:lang w:val="en-US"/>
        </w:rPr>
        <w:t>t</w:t>
      </w:r>
      <w:r w:rsidRPr="00B333F8">
        <w:rPr>
          <w:rFonts w:ascii="Times New Roman" w:hAnsi="Times New Roman"/>
          <w:sz w:val="28"/>
          <w:szCs w:val="28"/>
        </w:rPr>
        <w:t xml:space="preserve"> = 2,8). Это логично, так как экзаменационная оценка существенно влияет на стипендиальное обеспечение студента, поэтому подготовка к экзамену большинства их проходит на более качественном уровне, чем подготовка к практическим занятиям соответствующего цикла. И при одинаковой требовательности в том и другом случае средняя экзаменационная оценка не может быть ниже цикловой.</w:t>
      </w:r>
    </w:p>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Наиболее высока эффективность обучения у преподавателя А. Это видно не столько из более высоко среднего экзаменационного балла – 4, 24, который достоверно выше (</w:t>
      </w:r>
      <w:r w:rsidRPr="00B333F8">
        <w:rPr>
          <w:rFonts w:ascii="Times New Roman" w:hAnsi="Times New Roman"/>
          <w:sz w:val="28"/>
          <w:szCs w:val="28"/>
          <w:lang w:val="en-US"/>
        </w:rPr>
        <w:t>t</w:t>
      </w:r>
      <w:r w:rsidRPr="00B333F8">
        <w:rPr>
          <w:rFonts w:ascii="Times New Roman" w:hAnsi="Times New Roman"/>
          <w:sz w:val="28"/>
          <w:szCs w:val="28"/>
        </w:rPr>
        <w:t xml:space="preserve"> = 2,6–4,4), чем у других преподавателей, сколько из показателя эффективности (+0,34). Данный показатель говорит о том, что преподавателю в определенной степени удалось в течение цикла поднять уровень знаний студентов, что они и продемонстрировали на экзаменах. Причем это не были более сильные студенты, чем у других преподавателей, а </w:t>
      </w:r>
      <w:proofErr w:type="gramStart"/>
      <w:r w:rsidRPr="00B333F8">
        <w:rPr>
          <w:rFonts w:ascii="Times New Roman" w:hAnsi="Times New Roman"/>
          <w:sz w:val="28"/>
          <w:szCs w:val="28"/>
        </w:rPr>
        <w:t>скорее</w:t>
      </w:r>
      <w:proofErr w:type="gramEnd"/>
      <w:r w:rsidRPr="00B333F8">
        <w:rPr>
          <w:rFonts w:ascii="Times New Roman" w:hAnsi="Times New Roman"/>
          <w:sz w:val="28"/>
          <w:szCs w:val="28"/>
        </w:rPr>
        <w:t xml:space="preserve"> наоборот (у них самый низкий балл опроса – 3,9).</w:t>
      </w:r>
    </w:p>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 xml:space="preserve">Наиболее слабые результаты у преподавателя В.: более низкий, чем у других преподавателей, экзаменационный бал (4,0) и неудовлетворительный показатель эффективности (–0,4). Последний обусловлен не столько сравнительно низким экзаменационным баллом, сколько чрезмерно высоким баллом опроса (4,23), который значительно выше, чем у других преподавателей (эта разница </w:t>
      </w:r>
      <w:proofErr w:type="spellStart"/>
      <w:r w:rsidRPr="00B333F8">
        <w:rPr>
          <w:rFonts w:ascii="Times New Roman" w:hAnsi="Times New Roman"/>
          <w:sz w:val="28"/>
          <w:szCs w:val="28"/>
        </w:rPr>
        <w:t>высокодостоверна</w:t>
      </w:r>
      <w:proofErr w:type="spellEnd"/>
      <w:r w:rsidRPr="00B333F8">
        <w:rPr>
          <w:rFonts w:ascii="Times New Roman" w:hAnsi="Times New Roman"/>
          <w:sz w:val="28"/>
          <w:szCs w:val="28"/>
        </w:rPr>
        <w:t xml:space="preserve">, </w:t>
      </w:r>
      <w:r w:rsidRPr="00B333F8">
        <w:rPr>
          <w:rFonts w:ascii="Times New Roman" w:hAnsi="Times New Roman"/>
          <w:sz w:val="28"/>
          <w:szCs w:val="28"/>
          <w:lang w:val="en-US"/>
        </w:rPr>
        <w:t>t</w:t>
      </w:r>
      <w:r w:rsidRPr="00B333F8">
        <w:rPr>
          <w:rFonts w:ascii="Times New Roman" w:hAnsi="Times New Roman"/>
          <w:sz w:val="28"/>
          <w:szCs w:val="28"/>
        </w:rPr>
        <w:t xml:space="preserve"> = от 5 до 13).</w:t>
      </w:r>
    </w:p>
    <w:p w:rsidR="00EB01E0" w:rsidRPr="00B333F8" w:rsidRDefault="00EB01E0" w:rsidP="00B333F8">
      <w:pPr>
        <w:spacing w:before="0" w:after="0" w:line="240" w:lineRule="auto"/>
        <w:ind w:left="0"/>
        <w:jc w:val="both"/>
        <w:rPr>
          <w:rFonts w:ascii="Times New Roman" w:hAnsi="Times New Roman"/>
          <w:sz w:val="28"/>
          <w:szCs w:val="28"/>
        </w:rPr>
      </w:pPr>
      <w:proofErr w:type="spellStart"/>
      <w:proofErr w:type="gramStart"/>
      <w:r w:rsidRPr="00B333F8">
        <w:rPr>
          <w:rFonts w:ascii="Times New Roman" w:hAnsi="Times New Roman"/>
          <w:sz w:val="28"/>
          <w:szCs w:val="28"/>
        </w:rPr>
        <w:t>По­видимому</w:t>
      </w:r>
      <w:proofErr w:type="spellEnd"/>
      <w:proofErr w:type="gramEnd"/>
      <w:r w:rsidRPr="00B333F8">
        <w:rPr>
          <w:rFonts w:ascii="Times New Roman" w:hAnsi="Times New Roman"/>
          <w:sz w:val="28"/>
          <w:szCs w:val="28"/>
        </w:rPr>
        <w:t>, незаслуженно высокие оценки, выставляемые студентам при прохождении цикла офтальмологии, создают у них иллюзию ложного благополучия и негативным образом сказываются на работе в течение цикла офтальмологии, а затем и при подготовке к экзаменам.</w:t>
      </w:r>
    </w:p>
    <w:p w:rsidR="00EB01E0" w:rsidRPr="00B333F8" w:rsidRDefault="00EB01E0" w:rsidP="00B333F8">
      <w:pPr>
        <w:spacing w:before="0" w:after="0" w:line="240" w:lineRule="auto"/>
        <w:ind w:left="0"/>
        <w:jc w:val="both"/>
        <w:rPr>
          <w:rFonts w:ascii="Times New Roman" w:hAnsi="Times New Roman"/>
          <w:spacing w:val="-3"/>
          <w:sz w:val="28"/>
          <w:szCs w:val="28"/>
        </w:rPr>
      </w:pPr>
      <w:r w:rsidRPr="00B333F8">
        <w:rPr>
          <w:rFonts w:ascii="Times New Roman" w:hAnsi="Times New Roman"/>
          <w:spacing w:val="-3"/>
          <w:sz w:val="28"/>
          <w:szCs w:val="28"/>
        </w:rPr>
        <w:t xml:space="preserve">Оставляет желать лучшего показатель эффективности и преподавателя Г. Сравнительно высокий балл опроса (4,1) вряд ли соответствует фактическому уровню знаний студентов на цикле. При более требовательной оценке этих знаний преподавателем на практических </w:t>
      </w:r>
      <w:proofErr w:type="gramStart"/>
      <w:r w:rsidRPr="00B333F8">
        <w:rPr>
          <w:rFonts w:ascii="Times New Roman" w:hAnsi="Times New Roman"/>
          <w:spacing w:val="-3"/>
          <w:sz w:val="28"/>
          <w:szCs w:val="28"/>
        </w:rPr>
        <w:t>занятиях</w:t>
      </w:r>
      <w:proofErr w:type="gramEnd"/>
      <w:r w:rsidRPr="00B333F8">
        <w:rPr>
          <w:rFonts w:ascii="Times New Roman" w:hAnsi="Times New Roman"/>
          <w:spacing w:val="-3"/>
          <w:sz w:val="28"/>
          <w:szCs w:val="28"/>
        </w:rPr>
        <w:t xml:space="preserve"> вероятно стал бы выше и экзаменационный балл студентов, а следовательно и ПЭП.</w:t>
      </w:r>
    </w:p>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Показатель эффективности преподавания должен быть со знаком «+» (оптимально 0,2–0,4). Если ПЭП имеет знак</w:t>
      </w:r>
      <w:proofErr w:type="gramStart"/>
      <w:r w:rsidRPr="00B333F8">
        <w:rPr>
          <w:rFonts w:ascii="Times New Roman" w:hAnsi="Times New Roman"/>
          <w:sz w:val="28"/>
          <w:szCs w:val="28"/>
        </w:rPr>
        <w:t xml:space="preserve"> «–», </w:t>
      </w:r>
      <w:proofErr w:type="gramEnd"/>
      <w:r w:rsidRPr="00B333F8">
        <w:rPr>
          <w:rFonts w:ascii="Times New Roman" w:hAnsi="Times New Roman"/>
          <w:sz w:val="28"/>
          <w:szCs w:val="28"/>
        </w:rPr>
        <w:t>то это говорит о недостаточной эффективности преподавания на цикле практических занятий, в частности может свидетельствовать о недостаточной требовательности преподавателя к студентам, о завешенной оценке их работы, что никак не способствует формированию знающего и квалифицированного специалиста.</w:t>
      </w:r>
    </w:p>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Таблица</w:t>
      </w:r>
    </w:p>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 xml:space="preserve">Успеваемость студентов по глазным болезням </w:t>
      </w:r>
      <w:r w:rsidRPr="00B333F8">
        <w:rPr>
          <w:rFonts w:ascii="Times New Roman" w:hAnsi="Times New Roman"/>
          <w:sz w:val="28"/>
          <w:szCs w:val="28"/>
        </w:rPr>
        <w:br/>
        <w:t>у различных преподавателей</w:t>
      </w:r>
    </w:p>
    <w:tbl>
      <w:tblPr>
        <w:tblW w:w="0" w:type="auto"/>
        <w:tblInd w:w="57" w:type="dxa"/>
        <w:tblLayout w:type="fixed"/>
        <w:tblCellMar>
          <w:left w:w="0" w:type="dxa"/>
          <w:right w:w="0" w:type="dxa"/>
        </w:tblCellMar>
        <w:tblLook w:val="0000"/>
      </w:tblPr>
      <w:tblGrid>
        <w:gridCol w:w="1460"/>
        <w:gridCol w:w="1460"/>
        <w:gridCol w:w="1861"/>
        <w:gridCol w:w="1862"/>
        <w:gridCol w:w="2985"/>
      </w:tblGrid>
      <w:tr w:rsidR="00EB01E0" w:rsidRPr="00B333F8" w:rsidTr="00B07DD2">
        <w:trPr>
          <w:trHeight w:val="238"/>
        </w:trPr>
        <w:tc>
          <w:tcPr>
            <w:tcW w:w="1460" w:type="dxa"/>
            <w:vMerge w:val="restar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Преподаватель</w:t>
            </w:r>
          </w:p>
        </w:tc>
        <w:tc>
          <w:tcPr>
            <w:tcW w:w="1460" w:type="dxa"/>
            <w:vMerge w:val="restar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rsidR="00EB01E0" w:rsidRPr="00B333F8" w:rsidRDefault="00EB01E0" w:rsidP="00B333F8">
            <w:pPr>
              <w:spacing w:before="0" w:after="0" w:line="240" w:lineRule="auto"/>
              <w:ind w:left="0"/>
              <w:jc w:val="both"/>
              <w:rPr>
                <w:rFonts w:ascii="Times New Roman" w:hAnsi="Times New Roman"/>
                <w:sz w:val="28"/>
                <w:szCs w:val="28"/>
              </w:rPr>
            </w:pPr>
            <w:proofErr w:type="spellStart"/>
            <w:r w:rsidRPr="00B333F8">
              <w:rPr>
                <w:rFonts w:ascii="Times New Roman" w:hAnsi="Times New Roman"/>
                <w:sz w:val="28"/>
                <w:szCs w:val="28"/>
              </w:rPr>
              <w:t>К</w:t>
            </w:r>
            <w:r w:rsidRPr="00B333F8">
              <w:rPr>
                <w:rFonts w:ascii="Times New Roman" w:hAnsi="Times New Roman"/>
                <w:sz w:val="28"/>
                <w:szCs w:val="28"/>
              </w:rPr>
              <w:softHyphen/>
              <w:t>во</w:t>
            </w:r>
            <w:proofErr w:type="spellEnd"/>
            <w:r w:rsidRPr="00B333F8">
              <w:rPr>
                <w:rFonts w:ascii="Times New Roman" w:hAnsi="Times New Roman"/>
                <w:sz w:val="28"/>
                <w:szCs w:val="28"/>
              </w:rPr>
              <w:t xml:space="preserve"> </w:t>
            </w:r>
            <w:proofErr w:type="spellStart"/>
            <w:r w:rsidRPr="00B333F8">
              <w:rPr>
                <w:rFonts w:ascii="Times New Roman" w:hAnsi="Times New Roman"/>
                <w:sz w:val="28"/>
                <w:szCs w:val="28"/>
              </w:rPr>
              <w:t>студетов</w:t>
            </w:r>
            <w:proofErr w:type="spellEnd"/>
          </w:p>
        </w:tc>
        <w:tc>
          <w:tcPr>
            <w:tcW w:w="3723" w:type="dxa"/>
            <w:gridSpan w:val="2"/>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Средний балл (М ± m) и колебания по годам</w:t>
            </w:r>
          </w:p>
        </w:tc>
        <w:tc>
          <w:tcPr>
            <w:tcW w:w="2985" w:type="dxa"/>
            <w:vMerge w:val="restar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 xml:space="preserve">Показатель эффективности </w:t>
            </w:r>
            <w:r w:rsidRPr="00B333F8">
              <w:rPr>
                <w:rFonts w:ascii="Times New Roman" w:hAnsi="Times New Roman"/>
                <w:sz w:val="28"/>
                <w:szCs w:val="28"/>
              </w:rPr>
              <w:br/>
              <w:t>преподавания и колебания по годам</w:t>
            </w:r>
          </w:p>
        </w:tc>
      </w:tr>
      <w:tr w:rsidR="00EB01E0" w:rsidRPr="00B333F8" w:rsidTr="00B07DD2">
        <w:trPr>
          <w:trHeight w:val="238"/>
        </w:trPr>
        <w:tc>
          <w:tcPr>
            <w:tcW w:w="1460" w:type="dxa"/>
            <w:vMerge/>
            <w:tcBorders>
              <w:top w:val="single" w:sz="4" w:space="0" w:color="000000"/>
              <w:left w:val="single" w:sz="4" w:space="0" w:color="000000"/>
              <w:bottom w:val="single" w:sz="4" w:space="0" w:color="000000"/>
              <w:right w:val="single" w:sz="4" w:space="0" w:color="000000"/>
            </w:tcBorders>
          </w:tcPr>
          <w:p w:rsidR="00EB01E0" w:rsidRPr="00B333F8" w:rsidRDefault="00EB01E0" w:rsidP="00B333F8">
            <w:pPr>
              <w:spacing w:before="0" w:after="0" w:line="240" w:lineRule="auto"/>
              <w:ind w:left="0"/>
              <w:jc w:val="both"/>
              <w:rPr>
                <w:rFonts w:ascii="Times New Roman" w:hAnsi="Times New Roman"/>
                <w:sz w:val="28"/>
                <w:szCs w:val="28"/>
              </w:rPr>
            </w:pPr>
          </w:p>
        </w:tc>
        <w:tc>
          <w:tcPr>
            <w:tcW w:w="1460" w:type="dxa"/>
            <w:vMerge/>
            <w:tcBorders>
              <w:top w:val="single" w:sz="4" w:space="0" w:color="000000"/>
              <w:left w:val="single" w:sz="4" w:space="0" w:color="000000"/>
              <w:bottom w:val="single" w:sz="4" w:space="0" w:color="000000"/>
              <w:right w:val="single" w:sz="4" w:space="0" w:color="000000"/>
            </w:tcBorders>
          </w:tcPr>
          <w:p w:rsidR="00EB01E0" w:rsidRPr="00B333F8" w:rsidRDefault="00EB01E0" w:rsidP="00B333F8">
            <w:pPr>
              <w:spacing w:before="0" w:after="0" w:line="240" w:lineRule="auto"/>
              <w:ind w:left="0"/>
              <w:jc w:val="both"/>
              <w:rPr>
                <w:rFonts w:ascii="Times New Roman" w:hAnsi="Times New Roman"/>
                <w:sz w:val="28"/>
                <w:szCs w:val="28"/>
              </w:rPr>
            </w:pPr>
          </w:p>
        </w:tc>
        <w:tc>
          <w:tcPr>
            <w:tcW w:w="1861"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Опросы</w:t>
            </w:r>
          </w:p>
        </w:tc>
        <w:tc>
          <w:tcPr>
            <w:tcW w:w="1862"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Экзамены</w:t>
            </w:r>
          </w:p>
        </w:tc>
        <w:tc>
          <w:tcPr>
            <w:tcW w:w="2985" w:type="dxa"/>
            <w:vMerge/>
            <w:tcBorders>
              <w:top w:val="single" w:sz="4" w:space="0" w:color="000000"/>
              <w:left w:val="single" w:sz="4" w:space="0" w:color="000000"/>
              <w:bottom w:val="single" w:sz="4" w:space="0" w:color="000000"/>
              <w:right w:val="single" w:sz="4" w:space="0" w:color="000000"/>
            </w:tcBorders>
          </w:tcPr>
          <w:p w:rsidR="00EB01E0" w:rsidRPr="00B333F8" w:rsidRDefault="00EB01E0" w:rsidP="00B333F8">
            <w:pPr>
              <w:spacing w:before="0" w:after="0" w:line="240" w:lineRule="auto"/>
              <w:ind w:left="0"/>
              <w:jc w:val="both"/>
              <w:rPr>
                <w:rFonts w:ascii="Times New Roman" w:hAnsi="Times New Roman"/>
                <w:sz w:val="28"/>
                <w:szCs w:val="28"/>
              </w:rPr>
            </w:pPr>
          </w:p>
        </w:tc>
      </w:tr>
      <w:tr w:rsidR="00EB01E0" w:rsidRPr="00B333F8" w:rsidTr="00B07DD2">
        <w:trPr>
          <w:trHeight w:val="454"/>
        </w:trPr>
        <w:tc>
          <w:tcPr>
            <w:tcW w:w="1460"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А</w:t>
            </w:r>
          </w:p>
        </w:tc>
        <w:tc>
          <w:tcPr>
            <w:tcW w:w="1460"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382</w:t>
            </w:r>
          </w:p>
        </w:tc>
        <w:tc>
          <w:tcPr>
            <w:tcW w:w="1861"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3,9 ± 0,017</w:t>
            </w:r>
          </w:p>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От 3,7 до 4,0</w:t>
            </w:r>
          </w:p>
        </w:tc>
        <w:tc>
          <w:tcPr>
            <w:tcW w:w="1862"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4,24 ± 0,0,38</w:t>
            </w:r>
          </w:p>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От 3,9 до 4,65</w:t>
            </w:r>
          </w:p>
        </w:tc>
        <w:tc>
          <w:tcPr>
            <w:tcW w:w="2985"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+0,34</w:t>
            </w:r>
          </w:p>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От +0,1 до +0,7</w:t>
            </w:r>
          </w:p>
        </w:tc>
      </w:tr>
      <w:tr w:rsidR="00EB01E0" w:rsidRPr="00B333F8" w:rsidTr="00B07DD2">
        <w:trPr>
          <w:trHeight w:val="454"/>
        </w:trPr>
        <w:tc>
          <w:tcPr>
            <w:tcW w:w="1460"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Б</w:t>
            </w:r>
          </w:p>
        </w:tc>
        <w:tc>
          <w:tcPr>
            <w:tcW w:w="1460"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378</w:t>
            </w:r>
          </w:p>
        </w:tc>
        <w:tc>
          <w:tcPr>
            <w:tcW w:w="1861"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4,0 ± 0,015</w:t>
            </w:r>
          </w:p>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От 3,9 до 4,2</w:t>
            </w:r>
          </w:p>
        </w:tc>
        <w:tc>
          <w:tcPr>
            <w:tcW w:w="1862"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4,1 ± 0,039</w:t>
            </w:r>
          </w:p>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От 3,9 до 4,3</w:t>
            </w:r>
          </w:p>
        </w:tc>
        <w:tc>
          <w:tcPr>
            <w:tcW w:w="2985"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+0,1</w:t>
            </w:r>
          </w:p>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От –0,1 до +0,25</w:t>
            </w:r>
          </w:p>
        </w:tc>
      </w:tr>
      <w:tr w:rsidR="00EB01E0" w:rsidRPr="00B333F8" w:rsidTr="00B07DD2">
        <w:trPr>
          <w:trHeight w:val="454"/>
        </w:trPr>
        <w:tc>
          <w:tcPr>
            <w:tcW w:w="1460"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В</w:t>
            </w:r>
          </w:p>
        </w:tc>
        <w:tc>
          <w:tcPr>
            <w:tcW w:w="1460"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379</w:t>
            </w:r>
          </w:p>
        </w:tc>
        <w:tc>
          <w:tcPr>
            <w:tcW w:w="1861"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4,23 ± 0,018</w:t>
            </w:r>
          </w:p>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От 4,2 до 4,4</w:t>
            </w:r>
          </w:p>
        </w:tc>
        <w:tc>
          <w:tcPr>
            <w:tcW w:w="1862"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4,0 ± 0,039</w:t>
            </w:r>
          </w:p>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От 3,8 до 4,1</w:t>
            </w:r>
          </w:p>
        </w:tc>
        <w:tc>
          <w:tcPr>
            <w:tcW w:w="2985"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–0,23</w:t>
            </w:r>
          </w:p>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От –0,1 до –0,4</w:t>
            </w:r>
          </w:p>
        </w:tc>
      </w:tr>
      <w:tr w:rsidR="00EB01E0" w:rsidRPr="00B333F8" w:rsidTr="00B07DD2">
        <w:trPr>
          <w:trHeight w:val="454"/>
        </w:trPr>
        <w:tc>
          <w:tcPr>
            <w:tcW w:w="1460"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Г</w:t>
            </w:r>
          </w:p>
        </w:tc>
        <w:tc>
          <w:tcPr>
            <w:tcW w:w="1460"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312</w:t>
            </w:r>
          </w:p>
        </w:tc>
        <w:tc>
          <w:tcPr>
            <w:tcW w:w="1861"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4,1 ± 0,017</w:t>
            </w:r>
          </w:p>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От 4,0 до 4,2</w:t>
            </w:r>
          </w:p>
        </w:tc>
        <w:tc>
          <w:tcPr>
            <w:tcW w:w="1862"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4,1 ± 0,039</w:t>
            </w:r>
          </w:p>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От 3,8 до 4,2</w:t>
            </w:r>
          </w:p>
        </w:tc>
        <w:tc>
          <w:tcPr>
            <w:tcW w:w="2985"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0</w:t>
            </w:r>
          </w:p>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От –0,3 до +0,2</w:t>
            </w:r>
          </w:p>
        </w:tc>
      </w:tr>
      <w:tr w:rsidR="00EB01E0" w:rsidRPr="00B333F8" w:rsidTr="00B07DD2">
        <w:trPr>
          <w:trHeight w:val="238"/>
        </w:trPr>
        <w:tc>
          <w:tcPr>
            <w:tcW w:w="1460"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По кафедре</w:t>
            </w:r>
          </w:p>
        </w:tc>
        <w:tc>
          <w:tcPr>
            <w:tcW w:w="1460"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1451</w:t>
            </w:r>
          </w:p>
        </w:tc>
        <w:tc>
          <w:tcPr>
            <w:tcW w:w="1861"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4,04 ± 0,008</w:t>
            </w:r>
          </w:p>
        </w:tc>
        <w:tc>
          <w:tcPr>
            <w:tcW w:w="1862"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4,1 ± 0,02</w:t>
            </w:r>
          </w:p>
        </w:tc>
        <w:tc>
          <w:tcPr>
            <w:tcW w:w="2985"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+0,06</w:t>
            </w:r>
          </w:p>
        </w:tc>
      </w:tr>
    </w:tbl>
    <w:p w:rsidR="00EB01E0" w:rsidRPr="00B333F8" w:rsidRDefault="00EB01E0" w:rsidP="00B333F8">
      <w:pPr>
        <w:spacing w:before="0" w:after="0" w:line="240" w:lineRule="auto"/>
        <w:ind w:left="0"/>
        <w:jc w:val="both"/>
        <w:rPr>
          <w:rFonts w:ascii="Times New Roman" w:hAnsi="Times New Roman"/>
          <w:sz w:val="28"/>
          <w:szCs w:val="28"/>
        </w:rPr>
      </w:pPr>
    </w:p>
    <w:p w:rsidR="00EB01E0" w:rsidRPr="00B333F8" w:rsidRDefault="00EB01E0" w:rsidP="00B333F8">
      <w:pPr>
        <w:spacing w:before="0" w:after="0" w:line="240" w:lineRule="auto"/>
        <w:ind w:left="0"/>
        <w:jc w:val="both"/>
        <w:rPr>
          <w:rFonts w:ascii="Times New Roman" w:hAnsi="Times New Roman"/>
          <w:sz w:val="28"/>
          <w:szCs w:val="28"/>
        </w:rPr>
      </w:pPr>
    </w:p>
    <w:p w:rsidR="00EB01E0" w:rsidRPr="00B333F8" w:rsidRDefault="00EB01E0" w:rsidP="00B333F8">
      <w:pPr>
        <w:spacing w:before="0" w:after="0" w:line="240" w:lineRule="auto"/>
        <w:ind w:left="0"/>
        <w:jc w:val="both"/>
        <w:rPr>
          <w:rFonts w:ascii="Times New Roman" w:hAnsi="Times New Roman"/>
          <w:sz w:val="28"/>
          <w:szCs w:val="28"/>
        </w:rPr>
      </w:pPr>
    </w:p>
    <w:p w:rsidR="00EB01E0" w:rsidRPr="00B333F8" w:rsidRDefault="00EB01E0" w:rsidP="00B333F8">
      <w:pPr>
        <w:spacing w:before="0" w:after="0" w:line="240" w:lineRule="auto"/>
        <w:ind w:left="0"/>
        <w:jc w:val="both"/>
        <w:rPr>
          <w:rFonts w:ascii="Times New Roman" w:hAnsi="Times New Roman"/>
          <w:sz w:val="28"/>
          <w:szCs w:val="28"/>
        </w:rPr>
      </w:pPr>
      <w:r w:rsidRPr="00B333F8">
        <w:rPr>
          <w:rFonts w:ascii="Times New Roman" w:hAnsi="Times New Roman"/>
          <w:sz w:val="28"/>
          <w:szCs w:val="28"/>
        </w:rPr>
        <w:t>Заключение</w:t>
      </w:r>
    </w:p>
    <w:p w:rsidR="00EB01E0" w:rsidRPr="00B333F8" w:rsidRDefault="00EB01E0" w:rsidP="00B333F8">
      <w:pPr>
        <w:spacing w:before="0" w:after="0" w:line="240" w:lineRule="auto"/>
        <w:ind w:left="0"/>
        <w:jc w:val="both"/>
        <w:rPr>
          <w:rFonts w:ascii="Times New Roman" w:hAnsi="Times New Roman"/>
          <w:spacing w:val="2"/>
          <w:sz w:val="28"/>
          <w:szCs w:val="28"/>
        </w:rPr>
      </w:pPr>
      <w:r w:rsidRPr="00B333F8">
        <w:rPr>
          <w:rFonts w:ascii="Times New Roman" w:hAnsi="Times New Roman"/>
          <w:spacing w:val="2"/>
          <w:sz w:val="28"/>
          <w:szCs w:val="28"/>
        </w:rPr>
        <w:t xml:space="preserve">Таким образом, по окончании каждой экзаменационной сессии для каждого доцента и ассистента кафедры, проводящего практические занятия со студентами, целесообразно подсчитывать средние баллы опроса и экзамена, а отсюда и показатель эффективности преподавания. Это легко может сделать лаборант. Полученные данные представляются заведующему </w:t>
      </w:r>
      <w:proofErr w:type="spellStart"/>
      <w:proofErr w:type="gramStart"/>
      <w:r w:rsidRPr="00B333F8">
        <w:rPr>
          <w:rFonts w:ascii="Times New Roman" w:hAnsi="Times New Roman"/>
          <w:spacing w:val="2"/>
          <w:sz w:val="28"/>
          <w:szCs w:val="28"/>
        </w:rPr>
        <w:t>заведующему</w:t>
      </w:r>
      <w:proofErr w:type="spellEnd"/>
      <w:proofErr w:type="gramEnd"/>
      <w:r w:rsidRPr="00B333F8">
        <w:rPr>
          <w:rFonts w:ascii="Times New Roman" w:hAnsi="Times New Roman"/>
          <w:spacing w:val="2"/>
          <w:sz w:val="28"/>
          <w:szCs w:val="28"/>
        </w:rPr>
        <w:t xml:space="preserve"> учебной частью кафедры, который их анализируют и с результатами этого анализа выступает на кафедральном собрании, посвященном итогам семестра и экзаменационной сессии. На наш взгляд, такой анализ будет способствовать совершенствованию учебного процесса на кафедре, и не только кафедре офтальмологии.</w:t>
      </w:r>
    </w:p>
    <w:p w:rsidR="00EB01E0" w:rsidRDefault="00EB01E0" w:rsidP="00B333F8">
      <w:pPr>
        <w:spacing w:before="0" w:after="0" w:line="240" w:lineRule="auto"/>
        <w:ind w:left="0"/>
        <w:jc w:val="both"/>
        <w:rPr>
          <w:rFonts w:ascii="Times New Roman" w:hAnsi="Times New Roman"/>
          <w:sz w:val="28"/>
          <w:szCs w:val="28"/>
        </w:rPr>
      </w:pPr>
    </w:p>
    <w:p w:rsidR="00B333F8" w:rsidRDefault="00B333F8" w:rsidP="00B333F8">
      <w:pPr>
        <w:spacing w:before="0" w:after="0" w:line="240" w:lineRule="auto"/>
        <w:ind w:left="0"/>
        <w:jc w:val="both"/>
        <w:rPr>
          <w:rFonts w:ascii="Times New Roman" w:hAnsi="Times New Roman"/>
          <w:sz w:val="28"/>
          <w:szCs w:val="28"/>
        </w:rPr>
      </w:pPr>
    </w:p>
    <w:p w:rsidR="00B333F8" w:rsidRPr="00B333F8" w:rsidRDefault="00B333F8" w:rsidP="00B333F8">
      <w:pPr>
        <w:spacing w:before="0" w:after="0" w:line="240" w:lineRule="auto"/>
        <w:ind w:left="0"/>
        <w:jc w:val="both"/>
        <w:rPr>
          <w:rFonts w:ascii="Times New Roman" w:hAnsi="Times New Roman"/>
          <w:b/>
          <w:sz w:val="28"/>
          <w:szCs w:val="28"/>
        </w:rPr>
      </w:pPr>
      <w:r w:rsidRPr="00B333F8">
        <w:rPr>
          <w:rFonts w:ascii="Times New Roman" w:hAnsi="Times New Roman"/>
          <w:b/>
          <w:sz w:val="28"/>
          <w:szCs w:val="28"/>
        </w:rPr>
        <w:t>Список литературы:</w:t>
      </w:r>
    </w:p>
    <w:p w:rsidR="00B333F8" w:rsidRDefault="001E0F4C" w:rsidP="001E0F4C">
      <w:pPr>
        <w:pStyle w:val="a3"/>
        <w:numPr>
          <w:ilvl w:val="0"/>
          <w:numId w:val="1"/>
        </w:numPr>
        <w:spacing w:before="0" w:after="0" w:line="240" w:lineRule="auto"/>
        <w:jc w:val="both"/>
        <w:rPr>
          <w:rFonts w:ascii="Times New Roman" w:hAnsi="Times New Roman"/>
          <w:sz w:val="28"/>
          <w:szCs w:val="28"/>
        </w:rPr>
      </w:pPr>
      <w:proofErr w:type="spellStart"/>
      <w:r w:rsidRPr="001E0F4C">
        <w:rPr>
          <w:rFonts w:ascii="Times New Roman" w:hAnsi="Times New Roman"/>
          <w:sz w:val="28"/>
          <w:szCs w:val="28"/>
        </w:rPr>
        <w:t>Голычев</w:t>
      </w:r>
      <w:proofErr w:type="spellEnd"/>
      <w:r w:rsidRPr="001E0F4C">
        <w:rPr>
          <w:rFonts w:ascii="Times New Roman" w:hAnsi="Times New Roman"/>
          <w:sz w:val="28"/>
          <w:szCs w:val="28"/>
        </w:rPr>
        <w:t xml:space="preserve"> В.Н., Попов П.Н., Торопыгин С.Г., </w:t>
      </w:r>
      <w:proofErr w:type="spellStart"/>
      <w:r w:rsidRPr="001E0F4C">
        <w:rPr>
          <w:rFonts w:ascii="Times New Roman" w:hAnsi="Times New Roman"/>
          <w:sz w:val="28"/>
          <w:szCs w:val="28"/>
        </w:rPr>
        <w:t>Килейников</w:t>
      </w:r>
      <w:proofErr w:type="spellEnd"/>
      <w:r w:rsidRPr="001E0F4C">
        <w:rPr>
          <w:rFonts w:ascii="Times New Roman" w:hAnsi="Times New Roman"/>
          <w:sz w:val="28"/>
          <w:szCs w:val="28"/>
        </w:rPr>
        <w:t xml:space="preserve"> Д.В.</w:t>
      </w:r>
      <w:r w:rsidRPr="001E0F4C">
        <w:rPr>
          <w:rFonts w:ascii="Times New Roman" w:hAnsi="Times New Roman"/>
          <w:sz w:val="28"/>
          <w:szCs w:val="28"/>
        </w:rPr>
        <w:t xml:space="preserve"> </w:t>
      </w:r>
      <w:r w:rsidRPr="001E0F4C">
        <w:rPr>
          <w:rFonts w:ascii="Times New Roman" w:hAnsi="Times New Roman"/>
          <w:sz w:val="28"/>
          <w:szCs w:val="28"/>
        </w:rPr>
        <w:t xml:space="preserve">К </w:t>
      </w:r>
      <w:r w:rsidRPr="001E0F4C">
        <w:rPr>
          <w:rFonts w:ascii="Times New Roman" w:hAnsi="Times New Roman"/>
          <w:sz w:val="28"/>
          <w:szCs w:val="28"/>
        </w:rPr>
        <w:t xml:space="preserve">вопросу о совершенствовании компьютерного экзамена на кафедре глазных болезней </w:t>
      </w:r>
      <w:r w:rsidRPr="001E0F4C">
        <w:rPr>
          <w:rFonts w:ascii="Times New Roman" w:hAnsi="Times New Roman"/>
          <w:sz w:val="28"/>
          <w:szCs w:val="28"/>
        </w:rPr>
        <w:t>ТГМА</w:t>
      </w:r>
      <w:r w:rsidRPr="001E0F4C">
        <w:rPr>
          <w:rFonts w:ascii="Times New Roman" w:hAnsi="Times New Roman"/>
          <w:sz w:val="28"/>
          <w:szCs w:val="28"/>
        </w:rPr>
        <w:t xml:space="preserve"> // </w:t>
      </w:r>
      <w:r w:rsidRPr="001E0F4C">
        <w:rPr>
          <w:rFonts w:ascii="Times New Roman" w:hAnsi="Times New Roman"/>
          <w:sz w:val="28"/>
          <w:szCs w:val="28"/>
        </w:rPr>
        <w:t xml:space="preserve">Верхневолжский медицинский журнал. </w:t>
      </w:r>
      <w:r>
        <w:rPr>
          <w:rFonts w:ascii="Times New Roman" w:hAnsi="Times New Roman"/>
          <w:sz w:val="28"/>
          <w:szCs w:val="28"/>
        </w:rPr>
        <w:t xml:space="preserve">- </w:t>
      </w:r>
      <w:r w:rsidRPr="001E0F4C">
        <w:rPr>
          <w:rFonts w:ascii="Times New Roman" w:hAnsi="Times New Roman"/>
          <w:sz w:val="28"/>
          <w:szCs w:val="28"/>
        </w:rPr>
        <w:t xml:space="preserve">2010. </w:t>
      </w:r>
      <w:r>
        <w:rPr>
          <w:rFonts w:ascii="Times New Roman" w:hAnsi="Times New Roman"/>
          <w:sz w:val="28"/>
          <w:szCs w:val="28"/>
        </w:rPr>
        <w:t xml:space="preserve">- </w:t>
      </w:r>
      <w:r w:rsidRPr="001E0F4C">
        <w:rPr>
          <w:rFonts w:ascii="Times New Roman" w:hAnsi="Times New Roman"/>
          <w:sz w:val="28"/>
          <w:szCs w:val="28"/>
        </w:rPr>
        <w:t xml:space="preserve">Т. 8. № 1. </w:t>
      </w:r>
      <w:r>
        <w:rPr>
          <w:rFonts w:ascii="Times New Roman" w:hAnsi="Times New Roman"/>
          <w:sz w:val="28"/>
          <w:szCs w:val="28"/>
        </w:rPr>
        <w:t xml:space="preserve">- </w:t>
      </w:r>
      <w:r w:rsidRPr="001E0F4C">
        <w:rPr>
          <w:rFonts w:ascii="Times New Roman" w:hAnsi="Times New Roman"/>
          <w:sz w:val="28"/>
          <w:szCs w:val="28"/>
        </w:rPr>
        <w:t>С. 42-44.</w:t>
      </w:r>
    </w:p>
    <w:p w:rsidR="001E0F4C" w:rsidRDefault="001E0F4C" w:rsidP="001E0F4C">
      <w:pPr>
        <w:pStyle w:val="a3"/>
        <w:numPr>
          <w:ilvl w:val="0"/>
          <w:numId w:val="1"/>
        </w:numPr>
        <w:spacing w:before="0" w:after="0" w:line="240" w:lineRule="auto"/>
        <w:jc w:val="both"/>
        <w:rPr>
          <w:rFonts w:ascii="Times New Roman" w:hAnsi="Times New Roman"/>
          <w:sz w:val="28"/>
          <w:szCs w:val="28"/>
        </w:rPr>
      </w:pPr>
      <w:proofErr w:type="spellStart"/>
      <w:r w:rsidRPr="001E0F4C">
        <w:rPr>
          <w:rFonts w:ascii="Times New Roman" w:hAnsi="Times New Roman"/>
          <w:sz w:val="28"/>
          <w:szCs w:val="28"/>
        </w:rPr>
        <w:t>Голычев</w:t>
      </w:r>
      <w:proofErr w:type="spellEnd"/>
      <w:r w:rsidRPr="001E0F4C">
        <w:rPr>
          <w:rFonts w:ascii="Times New Roman" w:hAnsi="Times New Roman"/>
          <w:sz w:val="28"/>
          <w:szCs w:val="28"/>
        </w:rPr>
        <w:t xml:space="preserve"> В.Н., Торопыгин С.Г.</w:t>
      </w:r>
      <w:r w:rsidRPr="001E0F4C">
        <w:rPr>
          <w:rFonts w:ascii="Times New Roman" w:hAnsi="Times New Roman"/>
          <w:sz w:val="28"/>
          <w:szCs w:val="28"/>
        </w:rPr>
        <w:t xml:space="preserve"> Еще раз к вопросу о компьютерном экзамене по глазным болезням // </w:t>
      </w:r>
      <w:r w:rsidRPr="001E0F4C">
        <w:rPr>
          <w:rFonts w:ascii="Times New Roman" w:hAnsi="Times New Roman"/>
          <w:sz w:val="28"/>
          <w:szCs w:val="28"/>
        </w:rPr>
        <w:t xml:space="preserve">Верхневолжский медицинский журнал. </w:t>
      </w:r>
      <w:r>
        <w:rPr>
          <w:rFonts w:ascii="Times New Roman" w:hAnsi="Times New Roman"/>
          <w:sz w:val="28"/>
          <w:szCs w:val="28"/>
        </w:rPr>
        <w:t xml:space="preserve">- </w:t>
      </w:r>
      <w:r w:rsidRPr="001E0F4C">
        <w:rPr>
          <w:rFonts w:ascii="Times New Roman" w:hAnsi="Times New Roman"/>
          <w:sz w:val="28"/>
          <w:szCs w:val="28"/>
        </w:rPr>
        <w:t xml:space="preserve">2011. </w:t>
      </w:r>
      <w:r>
        <w:rPr>
          <w:rFonts w:ascii="Times New Roman" w:hAnsi="Times New Roman"/>
          <w:sz w:val="28"/>
          <w:szCs w:val="28"/>
        </w:rPr>
        <w:t xml:space="preserve">- </w:t>
      </w:r>
      <w:r w:rsidRPr="001E0F4C">
        <w:rPr>
          <w:rFonts w:ascii="Times New Roman" w:hAnsi="Times New Roman"/>
          <w:sz w:val="28"/>
          <w:szCs w:val="28"/>
        </w:rPr>
        <w:t>Т. 9. № 2.</w:t>
      </w:r>
      <w:r>
        <w:rPr>
          <w:rFonts w:ascii="Times New Roman" w:hAnsi="Times New Roman"/>
          <w:sz w:val="28"/>
          <w:szCs w:val="28"/>
        </w:rPr>
        <w:t xml:space="preserve"> -</w:t>
      </w:r>
      <w:r w:rsidRPr="001E0F4C">
        <w:rPr>
          <w:rFonts w:ascii="Times New Roman" w:hAnsi="Times New Roman"/>
          <w:sz w:val="28"/>
          <w:szCs w:val="28"/>
        </w:rPr>
        <w:t xml:space="preserve"> С. 47-48.</w:t>
      </w:r>
    </w:p>
    <w:p w:rsidR="001E0F4C" w:rsidRDefault="001E0F4C" w:rsidP="001E0F4C">
      <w:pPr>
        <w:pStyle w:val="a3"/>
        <w:numPr>
          <w:ilvl w:val="0"/>
          <w:numId w:val="1"/>
        </w:numPr>
        <w:spacing w:before="0" w:after="0" w:line="240" w:lineRule="auto"/>
        <w:jc w:val="both"/>
        <w:rPr>
          <w:rFonts w:ascii="Times New Roman" w:hAnsi="Times New Roman"/>
          <w:sz w:val="28"/>
          <w:szCs w:val="28"/>
        </w:rPr>
      </w:pPr>
      <w:proofErr w:type="spellStart"/>
      <w:r w:rsidRPr="001E0F4C">
        <w:rPr>
          <w:rFonts w:ascii="Times New Roman" w:hAnsi="Times New Roman"/>
          <w:sz w:val="28"/>
          <w:szCs w:val="28"/>
        </w:rPr>
        <w:t>Голычев</w:t>
      </w:r>
      <w:proofErr w:type="spellEnd"/>
      <w:r w:rsidRPr="001E0F4C">
        <w:rPr>
          <w:rFonts w:ascii="Times New Roman" w:hAnsi="Times New Roman"/>
          <w:sz w:val="28"/>
          <w:szCs w:val="28"/>
        </w:rPr>
        <w:t xml:space="preserve"> В.Н.</w:t>
      </w:r>
      <w:r w:rsidRPr="001E0F4C">
        <w:rPr>
          <w:rFonts w:ascii="Times New Roman" w:hAnsi="Times New Roman"/>
          <w:sz w:val="28"/>
          <w:szCs w:val="28"/>
        </w:rPr>
        <w:t xml:space="preserve"> Особенности преподавания офтальмологии студентам англоязычных групп в аспекте подготовки их к компьютерному экзамену // </w:t>
      </w:r>
      <w:proofErr w:type="gramStart"/>
      <w:r w:rsidRPr="001E0F4C">
        <w:rPr>
          <w:rFonts w:ascii="Times New Roman" w:hAnsi="Times New Roman"/>
          <w:sz w:val="28"/>
          <w:szCs w:val="28"/>
        </w:rPr>
        <w:t>Верхневолжский</w:t>
      </w:r>
      <w:proofErr w:type="gramEnd"/>
      <w:r w:rsidRPr="001E0F4C">
        <w:rPr>
          <w:rFonts w:ascii="Times New Roman" w:hAnsi="Times New Roman"/>
          <w:sz w:val="28"/>
          <w:szCs w:val="28"/>
        </w:rPr>
        <w:t xml:space="preserve"> медицинский журнал. </w:t>
      </w:r>
      <w:r>
        <w:rPr>
          <w:rFonts w:ascii="Times New Roman" w:hAnsi="Times New Roman"/>
          <w:sz w:val="28"/>
          <w:szCs w:val="28"/>
        </w:rPr>
        <w:t xml:space="preserve">- </w:t>
      </w:r>
      <w:r w:rsidRPr="001E0F4C">
        <w:rPr>
          <w:rFonts w:ascii="Times New Roman" w:hAnsi="Times New Roman"/>
          <w:sz w:val="28"/>
          <w:szCs w:val="28"/>
        </w:rPr>
        <w:t xml:space="preserve">2008. </w:t>
      </w:r>
      <w:r>
        <w:rPr>
          <w:rFonts w:ascii="Times New Roman" w:hAnsi="Times New Roman"/>
          <w:sz w:val="28"/>
          <w:szCs w:val="28"/>
        </w:rPr>
        <w:t xml:space="preserve">- </w:t>
      </w:r>
      <w:r w:rsidRPr="001E0F4C">
        <w:rPr>
          <w:rFonts w:ascii="Times New Roman" w:hAnsi="Times New Roman"/>
          <w:sz w:val="28"/>
          <w:szCs w:val="28"/>
        </w:rPr>
        <w:t xml:space="preserve">Т. 6. № 2. </w:t>
      </w:r>
      <w:r>
        <w:rPr>
          <w:rFonts w:ascii="Times New Roman" w:hAnsi="Times New Roman"/>
          <w:sz w:val="28"/>
          <w:szCs w:val="28"/>
        </w:rPr>
        <w:t xml:space="preserve">- </w:t>
      </w:r>
      <w:r w:rsidRPr="001E0F4C">
        <w:rPr>
          <w:rFonts w:ascii="Times New Roman" w:hAnsi="Times New Roman"/>
          <w:sz w:val="28"/>
          <w:szCs w:val="28"/>
        </w:rPr>
        <w:t>С. 34.</w:t>
      </w:r>
    </w:p>
    <w:p w:rsidR="001E0F4C" w:rsidRPr="001E0F4C" w:rsidRDefault="001E0F4C" w:rsidP="001E0F4C">
      <w:pPr>
        <w:pStyle w:val="a3"/>
        <w:numPr>
          <w:ilvl w:val="0"/>
          <w:numId w:val="1"/>
        </w:numPr>
        <w:spacing w:before="0" w:after="0" w:line="240" w:lineRule="auto"/>
        <w:jc w:val="both"/>
        <w:rPr>
          <w:rFonts w:ascii="Times New Roman" w:hAnsi="Times New Roman"/>
          <w:sz w:val="28"/>
          <w:szCs w:val="28"/>
        </w:rPr>
      </w:pPr>
      <w:r w:rsidRPr="001E0F4C">
        <w:rPr>
          <w:rFonts w:ascii="Times New Roman" w:hAnsi="Times New Roman"/>
          <w:sz w:val="28"/>
          <w:szCs w:val="28"/>
        </w:rPr>
        <w:t xml:space="preserve">Торопыгин С.Г., </w:t>
      </w:r>
      <w:proofErr w:type="spellStart"/>
      <w:r w:rsidRPr="001E0F4C">
        <w:rPr>
          <w:rFonts w:ascii="Times New Roman" w:hAnsi="Times New Roman"/>
          <w:sz w:val="28"/>
          <w:szCs w:val="28"/>
        </w:rPr>
        <w:t>Голычев</w:t>
      </w:r>
      <w:proofErr w:type="spellEnd"/>
      <w:r w:rsidRPr="001E0F4C">
        <w:rPr>
          <w:rFonts w:ascii="Times New Roman" w:hAnsi="Times New Roman"/>
          <w:sz w:val="28"/>
          <w:szCs w:val="28"/>
        </w:rPr>
        <w:t xml:space="preserve"> В.Н., Попов П.Н.</w:t>
      </w:r>
      <w:r w:rsidRPr="001E0F4C">
        <w:rPr>
          <w:rFonts w:ascii="Times New Roman" w:hAnsi="Times New Roman"/>
          <w:sz w:val="28"/>
          <w:szCs w:val="28"/>
        </w:rPr>
        <w:t xml:space="preserve"> Клиника глазных болезней КГМИ – ТГМА: становление и развитие // </w:t>
      </w:r>
      <w:r w:rsidRPr="001E0F4C">
        <w:rPr>
          <w:rFonts w:ascii="Times New Roman" w:hAnsi="Times New Roman"/>
          <w:sz w:val="28"/>
          <w:szCs w:val="28"/>
        </w:rPr>
        <w:t xml:space="preserve">Верхневолжский медицинский журнал. </w:t>
      </w:r>
      <w:r>
        <w:rPr>
          <w:rFonts w:ascii="Times New Roman" w:hAnsi="Times New Roman"/>
          <w:sz w:val="28"/>
          <w:szCs w:val="28"/>
        </w:rPr>
        <w:t xml:space="preserve">- </w:t>
      </w:r>
      <w:r w:rsidRPr="001E0F4C">
        <w:rPr>
          <w:rFonts w:ascii="Times New Roman" w:hAnsi="Times New Roman"/>
          <w:sz w:val="28"/>
          <w:szCs w:val="28"/>
        </w:rPr>
        <w:t xml:space="preserve">2012. </w:t>
      </w:r>
      <w:r>
        <w:rPr>
          <w:rFonts w:ascii="Times New Roman" w:hAnsi="Times New Roman"/>
          <w:sz w:val="28"/>
          <w:szCs w:val="28"/>
        </w:rPr>
        <w:t xml:space="preserve">- </w:t>
      </w:r>
      <w:r w:rsidRPr="001E0F4C">
        <w:rPr>
          <w:rFonts w:ascii="Times New Roman" w:hAnsi="Times New Roman"/>
          <w:sz w:val="28"/>
          <w:szCs w:val="28"/>
        </w:rPr>
        <w:t xml:space="preserve">Т. 10. № 4. </w:t>
      </w:r>
      <w:r>
        <w:rPr>
          <w:rFonts w:ascii="Times New Roman" w:hAnsi="Times New Roman"/>
          <w:sz w:val="28"/>
          <w:szCs w:val="28"/>
        </w:rPr>
        <w:t xml:space="preserve">- </w:t>
      </w:r>
      <w:r w:rsidRPr="001E0F4C">
        <w:rPr>
          <w:rFonts w:ascii="Times New Roman" w:hAnsi="Times New Roman"/>
          <w:sz w:val="28"/>
          <w:szCs w:val="28"/>
        </w:rPr>
        <w:t>С. 45-47.</w:t>
      </w:r>
    </w:p>
    <w:p w:rsidR="00B333F8" w:rsidRDefault="00B333F8" w:rsidP="00B333F8">
      <w:pPr>
        <w:spacing w:before="0" w:after="0" w:line="240" w:lineRule="auto"/>
        <w:ind w:left="0"/>
        <w:jc w:val="both"/>
        <w:rPr>
          <w:rFonts w:ascii="Times New Roman" w:hAnsi="Times New Roman"/>
          <w:sz w:val="28"/>
          <w:szCs w:val="28"/>
        </w:rPr>
      </w:pPr>
    </w:p>
    <w:p w:rsidR="00B333F8" w:rsidRPr="00B333F8" w:rsidRDefault="00B333F8" w:rsidP="00B333F8">
      <w:pPr>
        <w:spacing w:before="0" w:after="0" w:line="240" w:lineRule="auto"/>
        <w:ind w:left="0"/>
        <w:jc w:val="both"/>
        <w:rPr>
          <w:rFonts w:ascii="Times New Roman" w:hAnsi="Times New Roman"/>
          <w:sz w:val="28"/>
          <w:szCs w:val="28"/>
        </w:rPr>
      </w:pPr>
    </w:p>
    <w:p w:rsidR="00EB01E0" w:rsidRPr="00B333F8" w:rsidRDefault="00EB01E0" w:rsidP="00B333F8">
      <w:pPr>
        <w:spacing w:before="0" w:after="0" w:line="240" w:lineRule="auto"/>
        <w:ind w:left="0"/>
        <w:jc w:val="both"/>
        <w:rPr>
          <w:rFonts w:ascii="Times New Roman" w:hAnsi="Times New Roman"/>
          <w:i/>
          <w:iCs/>
          <w:sz w:val="28"/>
          <w:szCs w:val="28"/>
        </w:rPr>
      </w:pPr>
      <w:proofErr w:type="spellStart"/>
      <w:r w:rsidRPr="00B333F8">
        <w:rPr>
          <w:rFonts w:ascii="Times New Roman" w:hAnsi="Times New Roman"/>
          <w:i/>
          <w:iCs/>
          <w:sz w:val="28"/>
          <w:szCs w:val="28"/>
        </w:rPr>
        <w:t>Голычев</w:t>
      </w:r>
      <w:proofErr w:type="spellEnd"/>
      <w:r w:rsidRPr="00B333F8">
        <w:rPr>
          <w:rFonts w:ascii="Times New Roman" w:hAnsi="Times New Roman"/>
          <w:i/>
          <w:iCs/>
          <w:sz w:val="28"/>
          <w:szCs w:val="28"/>
        </w:rPr>
        <w:t xml:space="preserve"> Владимир Николаевич (контактное лицо)  – канд. мед</w:t>
      </w:r>
      <w:proofErr w:type="gramStart"/>
      <w:r w:rsidRPr="00B333F8">
        <w:rPr>
          <w:rFonts w:ascii="Times New Roman" w:hAnsi="Times New Roman"/>
          <w:i/>
          <w:iCs/>
          <w:sz w:val="28"/>
          <w:szCs w:val="28"/>
        </w:rPr>
        <w:t>.</w:t>
      </w:r>
      <w:proofErr w:type="gramEnd"/>
      <w:r w:rsidRPr="00B333F8">
        <w:rPr>
          <w:rFonts w:ascii="Times New Roman" w:hAnsi="Times New Roman"/>
          <w:i/>
          <w:iCs/>
          <w:sz w:val="28"/>
          <w:szCs w:val="28"/>
        </w:rPr>
        <w:t xml:space="preserve"> </w:t>
      </w:r>
      <w:proofErr w:type="gramStart"/>
      <w:r w:rsidRPr="00B333F8">
        <w:rPr>
          <w:rFonts w:ascii="Times New Roman" w:hAnsi="Times New Roman"/>
          <w:i/>
          <w:iCs/>
          <w:sz w:val="28"/>
          <w:szCs w:val="28"/>
        </w:rPr>
        <w:t>н</w:t>
      </w:r>
      <w:proofErr w:type="gramEnd"/>
      <w:r w:rsidRPr="00B333F8">
        <w:rPr>
          <w:rFonts w:ascii="Times New Roman" w:hAnsi="Times New Roman"/>
          <w:i/>
          <w:iCs/>
          <w:sz w:val="28"/>
          <w:szCs w:val="28"/>
        </w:rPr>
        <w:t xml:space="preserve">аук, доцент кафедры офтальмологии ГБОУ ВПО Тверская ГМА Минздрава России. </w:t>
      </w:r>
      <w:proofErr w:type="gramStart"/>
      <w:r w:rsidRPr="00B333F8">
        <w:rPr>
          <w:rFonts w:ascii="Times New Roman" w:hAnsi="Times New Roman"/>
          <w:i/>
          <w:iCs/>
          <w:sz w:val="28"/>
          <w:szCs w:val="28"/>
        </w:rPr>
        <w:t xml:space="preserve">Адрес: 170036, Россия, г. Тверь, ул. П. Савельевой, 5, кв. </w:t>
      </w:r>
      <w:proofErr w:type="gramEnd"/>
      <w:r w:rsidRPr="00B333F8">
        <w:rPr>
          <w:rFonts w:ascii="Times New Roman" w:hAnsi="Times New Roman"/>
          <w:i/>
          <w:iCs/>
          <w:sz w:val="28"/>
          <w:szCs w:val="28"/>
        </w:rPr>
        <w:t>40..</w:t>
      </w:r>
    </w:p>
    <w:p w:rsidR="00EB01E0" w:rsidRPr="00B333F8" w:rsidRDefault="00EB01E0" w:rsidP="00B333F8">
      <w:pPr>
        <w:spacing w:before="0" w:after="0" w:line="240" w:lineRule="auto"/>
        <w:ind w:left="0"/>
        <w:jc w:val="both"/>
        <w:rPr>
          <w:rFonts w:ascii="Times New Roman" w:hAnsi="Times New Roman"/>
          <w:i/>
          <w:iCs/>
          <w:sz w:val="28"/>
          <w:szCs w:val="28"/>
        </w:rPr>
      </w:pPr>
    </w:p>
    <w:p w:rsidR="0006575E" w:rsidRPr="00B333F8" w:rsidRDefault="0006575E" w:rsidP="00B333F8">
      <w:pPr>
        <w:spacing w:line="240" w:lineRule="auto"/>
        <w:jc w:val="both"/>
        <w:rPr>
          <w:rFonts w:ascii="Times New Roman" w:hAnsi="Times New Roman"/>
          <w:sz w:val="28"/>
          <w:szCs w:val="28"/>
        </w:rPr>
      </w:pPr>
      <w:bookmarkStart w:id="0" w:name="_GoBack"/>
      <w:bookmarkEnd w:id="0"/>
    </w:p>
    <w:sectPr w:rsidR="0006575E" w:rsidRPr="00B333F8" w:rsidSect="00266F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6130E9"/>
    <w:multiLevelType w:val="hybridMultilevel"/>
    <w:tmpl w:val="549422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C24AD9"/>
    <w:rsid w:val="0006575E"/>
    <w:rsid w:val="001E0F4C"/>
    <w:rsid w:val="00266F9A"/>
    <w:rsid w:val="00B333F8"/>
    <w:rsid w:val="00B9056A"/>
    <w:rsid w:val="00C152D6"/>
    <w:rsid w:val="00C24AD9"/>
    <w:rsid w:val="00E16DD0"/>
    <w:rsid w:val="00EB01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1E0"/>
    <w:pPr>
      <w:spacing w:before="6014"/>
      <w:ind w:left="17"/>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0F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1E0"/>
    <w:pPr>
      <w:spacing w:before="6014"/>
      <w:ind w:left="17"/>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1427</Words>
  <Characters>8137</Characters>
  <Application>Microsoft Office Word</Application>
  <DocSecurity>0</DocSecurity>
  <Lines>67</Lines>
  <Paragraphs>19</Paragraphs>
  <ScaleCrop>false</ScaleCrop>
  <Company/>
  <LinksUpToDate>false</LinksUpToDate>
  <CharactersWithSpaces>9545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А. Жмакин</dc:creator>
  <cp:keywords/>
  <dc:description/>
  <cp:lastModifiedBy>Home</cp:lastModifiedBy>
  <cp:revision>6</cp:revision>
  <dcterms:created xsi:type="dcterms:W3CDTF">2013-07-29T11:01:00Z</dcterms:created>
  <dcterms:modified xsi:type="dcterms:W3CDTF">2014-03-09T11:42:00Z</dcterms:modified>
</cp:coreProperties>
</file>