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15" w:rsidRPr="000F1636" w:rsidRDefault="006D0E1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УДК 616.342-002.44-072.1-08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Л.А. </w:t>
      </w:r>
      <w:proofErr w:type="spellStart"/>
      <w:r w:rsidRPr="000F1636">
        <w:rPr>
          <w:sz w:val="28"/>
          <w:szCs w:val="28"/>
        </w:rPr>
        <w:t>Любская</w:t>
      </w:r>
      <w:proofErr w:type="spellEnd"/>
      <w:r w:rsidRPr="000F1636">
        <w:rPr>
          <w:sz w:val="28"/>
          <w:szCs w:val="28"/>
        </w:rPr>
        <w:t>, И.Ю. Колесникова</w:t>
      </w:r>
    </w:p>
    <w:p w:rsidR="00E127C0" w:rsidRPr="000F1636" w:rsidRDefault="00382559" w:rsidP="000F1636">
      <w:pPr>
        <w:ind w:firstLine="709"/>
        <w:jc w:val="both"/>
        <w:rPr>
          <w:b/>
          <w:sz w:val="28"/>
          <w:szCs w:val="28"/>
        </w:rPr>
      </w:pPr>
      <w:r w:rsidRPr="000F1636">
        <w:rPr>
          <w:b/>
          <w:sz w:val="28"/>
          <w:szCs w:val="28"/>
        </w:rPr>
        <w:t xml:space="preserve">Функциональные особенности и эффективность </w:t>
      </w:r>
      <w:r w:rsidR="008B55F6">
        <w:rPr>
          <w:b/>
          <w:sz w:val="28"/>
          <w:szCs w:val="28"/>
        </w:rPr>
        <w:t>снижения кислотн</w:t>
      </w:r>
      <w:r w:rsidR="008B55F6">
        <w:rPr>
          <w:b/>
          <w:sz w:val="28"/>
          <w:szCs w:val="28"/>
        </w:rPr>
        <w:t>о</w:t>
      </w:r>
      <w:r w:rsidR="008B55F6">
        <w:rPr>
          <w:b/>
          <w:sz w:val="28"/>
          <w:szCs w:val="28"/>
        </w:rPr>
        <w:t xml:space="preserve">сти </w:t>
      </w:r>
      <w:r w:rsidRPr="000F1636">
        <w:rPr>
          <w:b/>
          <w:sz w:val="28"/>
          <w:szCs w:val="28"/>
        </w:rPr>
        <w:t>у больных язвенной болезнью двенадцатиперстной кишки, перене</w:t>
      </w:r>
      <w:r w:rsidRPr="000F1636">
        <w:rPr>
          <w:b/>
          <w:sz w:val="28"/>
          <w:szCs w:val="28"/>
        </w:rPr>
        <w:t>с</w:t>
      </w:r>
      <w:r w:rsidRPr="000F1636">
        <w:rPr>
          <w:b/>
          <w:sz w:val="28"/>
          <w:szCs w:val="28"/>
        </w:rPr>
        <w:t>ших перфорацию язвы</w:t>
      </w:r>
    </w:p>
    <w:p w:rsidR="000F1636" w:rsidRPr="00153F6F" w:rsidRDefault="000F1636" w:rsidP="000F163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53F6F">
        <w:rPr>
          <w:bCs/>
          <w:sz w:val="28"/>
          <w:szCs w:val="28"/>
        </w:rPr>
        <w:t xml:space="preserve">ГБОУ ВПО </w:t>
      </w:r>
      <w:proofErr w:type="gramStart"/>
      <w:r w:rsidRPr="00153F6F">
        <w:rPr>
          <w:bCs/>
          <w:sz w:val="28"/>
          <w:szCs w:val="28"/>
        </w:rPr>
        <w:t>Тверская</w:t>
      </w:r>
      <w:proofErr w:type="gramEnd"/>
      <w:r w:rsidRPr="00153F6F">
        <w:rPr>
          <w:bCs/>
          <w:sz w:val="28"/>
          <w:szCs w:val="28"/>
        </w:rPr>
        <w:t xml:space="preserve"> ГМА Минздрава России</w:t>
      </w:r>
    </w:p>
    <w:p w:rsidR="000F1636" w:rsidRPr="000F1636" w:rsidRDefault="000F1636" w:rsidP="000F1636">
      <w:pPr>
        <w:ind w:firstLine="709"/>
        <w:jc w:val="both"/>
        <w:rPr>
          <w:sz w:val="28"/>
          <w:szCs w:val="28"/>
        </w:rPr>
      </w:pPr>
    </w:p>
    <w:p w:rsidR="001B7193" w:rsidRPr="000F1636" w:rsidRDefault="001B7193" w:rsidP="000F1636">
      <w:pPr>
        <w:widowControl/>
        <w:autoSpaceDE/>
        <w:autoSpaceDN/>
        <w:adjustRightInd/>
        <w:ind w:firstLine="709"/>
        <w:contextualSpacing/>
        <w:jc w:val="both"/>
        <w:rPr>
          <w:i/>
          <w:sz w:val="28"/>
          <w:szCs w:val="28"/>
        </w:rPr>
      </w:pPr>
      <w:r w:rsidRPr="000F1636">
        <w:rPr>
          <w:i/>
          <w:sz w:val="28"/>
          <w:szCs w:val="28"/>
        </w:rPr>
        <w:t xml:space="preserve">Цель исследования: сопоставление особенностей кислотообразования и ощелачивания в </w:t>
      </w:r>
      <w:proofErr w:type="gramStart"/>
      <w:r w:rsidRPr="000F1636">
        <w:rPr>
          <w:i/>
          <w:sz w:val="28"/>
          <w:szCs w:val="28"/>
        </w:rPr>
        <w:t>желудке</w:t>
      </w:r>
      <w:proofErr w:type="gramEnd"/>
      <w:r w:rsidRPr="000F1636">
        <w:rPr>
          <w:i/>
          <w:sz w:val="28"/>
          <w:szCs w:val="28"/>
        </w:rPr>
        <w:t xml:space="preserve">, результатов стандартной </w:t>
      </w:r>
      <w:proofErr w:type="spellStart"/>
      <w:r w:rsidRPr="000F1636">
        <w:rPr>
          <w:i/>
          <w:sz w:val="28"/>
          <w:szCs w:val="28"/>
        </w:rPr>
        <w:t>антисекреторной</w:t>
      </w:r>
      <w:proofErr w:type="spellEnd"/>
      <w:r w:rsidRPr="000F1636">
        <w:rPr>
          <w:i/>
          <w:sz w:val="28"/>
          <w:szCs w:val="28"/>
        </w:rPr>
        <w:t xml:space="preserve"> тер</w:t>
      </w:r>
      <w:r w:rsidRPr="000F1636">
        <w:rPr>
          <w:i/>
          <w:sz w:val="28"/>
          <w:szCs w:val="28"/>
        </w:rPr>
        <w:t>а</w:t>
      </w:r>
      <w:r w:rsidRPr="000F1636">
        <w:rPr>
          <w:i/>
          <w:sz w:val="28"/>
          <w:szCs w:val="28"/>
        </w:rPr>
        <w:t>пии у больных язвенной болезнью двенадцатиперстной кишки (ЯБДК), пер</w:t>
      </w:r>
      <w:r w:rsidRPr="000F1636">
        <w:rPr>
          <w:i/>
          <w:sz w:val="28"/>
          <w:szCs w:val="28"/>
        </w:rPr>
        <w:t>е</w:t>
      </w:r>
      <w:r w:rsidRPr="000F1636">
        <w:rPr>
          <w:i/>
          <w:sz w:val="28"/>
          <w:szCs w:val="28"/>
        </w:rPr>
        <w:t xml:space="preserve">несших перфорацию язвы в анамнезе, в сравнении с </w:t>
      </w:r>
      <w:proofErr w:type="spellStart"/>
      <w:r w:rsidRPr="000F1636">
        <w:rPr>
          <w:i/>
          <w:sz w:val="28"/>
          <w:szCs w:val="28"/>
        </w:rPr>
        <w:t>неосложненным</w:t>
      </w:r>
      <w:proofErr w:type="spellEnd"/>
      <w:r w:rsidRPr="000F1636">
        <w:rPr>
          <w:i/>
          <w:sz w:val="28"/>
          <w:szCs w:val="28"/>
        </w:rPr>
        <w:t xml:space="preserve"> течением заболевания.</w:t>
      </w:r>
    </w:p>
    <w:p w:rsidR="006A3F37" w:rsidRPr="000F1636" w:rsidRDefault="001B7193" w:rsidP="000F1636">
      <w:pPr>
        <w:ind w:firstLine="709"/>
        <w:jc w:val="both"/>
        <w:rPr>
          <w:i/>
          <w:sz w:val="28"/>
          <w:szCs w:val="28"/>
        </w:rPr>
      </w:pPr>
      <w:r w:rsidRPr="000F1636">
        <w:rPr>
          <w:i/>
          <w:sz w:val="28"/>
          <w:szCs w:val="28"/>
        </w:rPr>
        <w:t>Материалы и методы:</w:t>
      </w:r>
      <w:r w:rsidR="006A3F37" w:rsidRPr="000F1636">
        <w:rPr>
          <w:i/>
          <w:sz w:val="28"/>
          <w:szCs w:val="28"/>
        </w:rPr>
        <w:t xml:space="preserve"> обследовано 113 больных ЯБДК в фазе рецидива, в 1-ю </w:t>
      </w:r>
      <w:r w:rsidR="006D0E10" w:rsidRPr="000F1636">
        <w:rPr>
          <w:i/>
          <w:sz w:val="28"/>
          <w:szCs w:val="28"/>
        </w:rPr>
        <w:t xml:space="preserve">группу </w:t>
      </w:r>
      <w:r w:rsidR="006A3F37" w:rsidRPr="000F1636">
        <w:rPr>
          <w:i/>
          <w:sz w:val="28"/>
          <w:szCs w:val="28"/>
        </w:rPr>
        <w:t xml:space="preserve">включен 61 пациент с </w:t>
      </w:r>
      <w:proofErr w:type="spellStart"/>
      <w:r w:rsidR="006A3F37" w:rsidRPr="000F1636">
        <w:rPr>
          <w:i/>
          <w:sz w:val="28"/>
          <w:szCs w:val="28"/>
        </w:rPr>
        <w:t>неосложненным</w:t>
      </w:r>
      <w:proofErr w:type="spellEnd"/>
      <w:r w:rsidR="006A3F37" w:rsidRPr="000F1636">
        <w:rPr>
          <w:i/>
          <w:sz w:val="28"/>
          <w:szCs w:val="28"/>
        </w:rPr>
        <w:t xml:space="preserve"> течением ЯБДК, во 2-ю </w:t>
      </w:r>
      <w:r w:rsidR="00B8494F" w:rsidRPr="000F1636">
        <w:rPr>
          <w:i/>
          <w:sz w:val="28"/>
          <w:szCs w:val="28"/>
        </w:rPr>
        <w:t>–</w:t>
      </w:r>
      <w:r w:rsidR="006A3F37" w:rsidRPr="000F1636">
        <w:rPr>
          <w:i/>
          <w:sz w:val="28"/>
          <w:szCs w:val="28"/>
        </w:rPr>
        <w:t xml:space="preserve"> 52 больных с перфорацией язвы в анамнезе. Всем больным выполнялось клинико-инструментальное обследование: </w:t>
      </w:r>
      <w:proofErr w:type="spellStart"/>
      <w:r w:rsidR="006A3F37" w:rsidRPr="000F1636">
        <w:rPr>
          <w:i/>
          <w:sz w:val="28"/>
          <w:szCs w:val="28"/>
        </w:rPr>
        <w:t>эзофагогастродуоденоскопия</w:t>
      </w:r>
      <w:proofErr w:type="spellEnd"/>
      <w:r w:rsidR="006A3F37" w:rsidRPr="000F1636">
        <w:rPr>
          <w:i/>
          <w:sz w:val="28"/>
          <w:szCs w:val="28"/>
        </w:rPr>
        <w:t xml:space="preserve">, дыхательный </w:t>
      </w:r>
      <w:proofErr w:type="spellStart"/>
      <w:r w:rsidR="006A3F37" w:rsidRPr="000F1636">
        <w:rPr>
          <w:i/>
          <w:sz w:val="28"/>
          <w:szCs w:val="28"/>
        </w:rPr>
        <w:t>уреазный</w:t>
      </w:r>
      <w:proofErr w:type="spellEnd"/>
      <w:r w:rsidR="006A3F37" w:rsidRPr="000F1636">
        <w:rPr>
          <w:i/>
          <w:sz w:val="28"/>
          <w:szCs w:val="28"/>
        </w:rPr>
        <w:t xml:space="preserve"> тест</w:t>
      </w:r>
      <w:r w:rsidR="00CA2F9F" w:rsidRPr="000F1636">
        <w:rPr>
          <w:i/>
          <w:sz w:val="28"/>
          <w:szCs w:val="28"/>
        </w:rPr>
        <w:t>,</w:t>
      </w:r>
      <w:r w:rsidR="006A3F37" w:rsidRPr="000F1636">
        <w:rPr>
          <w:i/>
          <w:sz w:val="28"/>
          <w:szCs w:val="28"/>
        </w:rPr>
        <w:t xml:space="preserve"> суточное </w:t>
      </w:r>
      <w:proofErr w:type="spellStart"/>
      <w:r w:rsidR="006A3F37" w:rsidRPr="000F1636">
        <w:rPr>
          <w:i/>
          <w:sz w:val="28"/>
          <w:szCs w:val="28"/>
        </w:rPr>
        <w:t>интрагастральное</w:t>
      </w:r>
      <w:proofErr w:type="spellEnd"/>
      <w:r w:rsidR="006A3F37" w:rsidRPr="000F1636">
        <w:rPr>
          <w:i/>
          <w:sz w:val="28"/>
          <w:szCs w:val="28"/>
        </w:rPr>
        <w:t xml:space="preserve"> </w:t>
      </w:r>
      <w:proofErr w:type="spellStart"/>
      <w:r w:rsidR="006A3F37" w:rsidRPr="000F1636">
        <w:rPr>
          <w:i/>
          <w:sz w:val="28"/>
          <w:szCs w:val="28"/>
        </w:rPr>
        <w:t>мониторирование</w:t>
      </w:r>
      <w:proofErr w:type="spellEnd"/>
      <w:r w:rsidR="006A3F37" w:rsidRPr="000F1636">
        <w:rPr>
          <w:i/>
          <w:sz w:val="28"/>
          <w:szCs w:val="28"/>
        </w:rPr>
        <w:t xml:space="preserve"> </w:t>
      </w:r>
      <w:proofErr w:type="spellStart"/>
      <w:r w:rsidR="006A3F37" w:rsidRPr="000F1636">
        <w:rPr>
          <w:i/>
          <w:sz w:val="28"/>
          <w:szCs w:val="28"/>
        </w:rPr>
        <w:t>рН</w:t>
      </w:r>
      <w:proofErr w:type="spellEnd"/>
      <w:r w:rsidR="006A3F37" w:rsidRPr="000F1636">
        <w:rPr>
          <w:i/>
          <w:sz w:val="28"/>
          <w:szCs w:val="28"/>
        </w:rPr>
        <w:t xml:space="preserve"> до назнач</w:t>
      </w:r>
      <w:r w:rsidR="006A3F37" w:rsidRPr="000F1636">
        <w:rPr>
          <w:i/>
          <w:sz w:val="28"/>
          <w:szCs w:val="28"/>
        </w:rPr>
        <w:t>е</w:t>
      </w:r>
      <w:r w:rsidR="006A3F37" w:rsidRPr="000F1636">
        <w:rPr>
          <w:i/>
          <w:sz w:val="28"/>
          <w:szCs w:val="28"/>
        </w:rPr>
        <w:t>ния лечения и на 5-й день стандартной терапии</w:t>
      </w:r>
      <w:r w:rsidR="00CA2F9F" w:rsidRPr="000F1636">
        <w:rPr>
          <w:i/>
          <w:sz w:val="28"/>
          <w:szCs w:val="28"/>
        </w:rPr>
        <w:t xml:space="preserve">. </w:t>
      </w:r>
      <w:r w:rsidR="006A3F37" w:rsidRPr="000F1636">
        <w:rPr>
          <w:i/>
          <w:sz w:val="28"/>
          <w:szCs w:val="28"/>
        </w:rPr>
        <w:t>На 14 день лечения оцен</w:t>
      </w:r>
      <w:r w:rsidR="00CA2F9F" w:rsidRPr="000F1636">
        <w:rPr>
          <w:i/>
          <w:sz w:val="28"/>
          <w:szCs w:val="28"/>
        </w:rPr>
        <w:t>ив</w:t>
      </w:r>
      <w:r w:rsidR="00CA2F9F" w:rsidRPr="000F1636">
        <w:rPr>
          <w:i/>
          <w:sz w:val="28"/>
          <w:szCs w:val="28"/>
        </w:rPr>
        <w:t>а</w:t>
      </w:r>
      <w:r w:rsidR="00CA2F9F" w:rsidRPr="000F1636">
        <w:rPr>
          <w:i/>
          <w:sz w:val="28"/>
          <w:szCs w:val="28"/>
        </w:rPr>
        <w:t xml:space="preserve">лась эндоскопическая </w:t>
      </w:r>
      <w:r w:rsidR="006A3F37" w:rsidRPr="000F1636">
        <w:rPr>
          <w:i/>
          <w:sz w:val="28"/>
          <w:szCs w:val="28"/>
        </w:rPr>
        <w:t>динамик</w:t>
      </w:r>
      <w:r w:rsidR="00CA2F9F" w:rsidRPr="000F1636">
        <w:rPr>
          <w:i/>
          <w:sz w:val="28"/>
          <w:szCs w:val="28"/>
        </w:rPr>
        <w:t>а</w:t>
      </w:r>
      <w:r w:rsidR="006A3F37" w:rsidRPr="000F1636">
        <w:rPr>
          <w:i/>
          <w:sz w:val="28"/>
          <w:szCs w:val="28"/>
        </w:rPr>
        <w:t xml:space="preserve"> рубцевания язвенного дефекта. В случае сохр</w:t>
      </w:r>
      <w:r w:rsidR="006A3F37" w:rsidRPr="000F1636">
        <w:rPr>
          <w:i/>
          <w:sz w:val="28"/>
          <w:szCs w:val="28"/>
        </w:rPr>
        <w:t>а</w:t>
      </w:r>
      <w:r w:rsidR="006A3F37" w:rsidRPr="000F1636">
        <w:rPr>
          <w:i/>
          <w:sz w:val="28"/>
          <w:szCs w:val="28"/>
        </w:rPr>
        <w:t>нения язвы повторные эндоскопические исследования выполнялись каждые 7 дней до полного рубцевания язвенного дефекта.</w:t>
      </w:r>
    </w:p>
    <w:p w:rsidR="0042430B" w:rsidRPr="000F1636" w:rsidRDefault="001B7193" w:rsidP="000F1636">
      <w:pPr>
        <w:ind w:firstLine="709"/>
        <w:jc w:val="both"/>
        <w:rPr>
          <w:i/>
          <w:sz w:val="28"/>
          <w:szCs w:val="28"/>
        </w:rPr>
      </w:pPr>
      <w:r w:rsidRPr="000F1636">
        <w:rPr>
          <w:i/>
          <w:sz w:val="28"/>
          <w:szCs w:val="28"/>
        </w:rPr>
        <w:t>Результаты:</w:t>
      </w:r>
      <w:r w:rsidR="0042430B" w:rsidRPr="000F1636">
        <w:rPr>
          <w:i/>
          <w:sz w:val="28"/>
          <w:szCs w:val="28"/>
        </w:rPr>
        <w:t xml:space="preserve"> при осложненном течении кислотность в теле желудка была более высокой и монотонной в течение суток, чем при </w:t>
      </w:r>
      <w:proofErr w:type="spellStart"/>
      <w:r w:rsidR="0042430B" w:rsidRPr="000F1636">
        <w:rPr>
          <w:i/>
          <w:sz w:val="28"/>
          <w:szCs w:val="28"/>
        </w:rPr>
        <w:t>неосложненной</w:t>
      </w:r>
      <w:proofErr w:type="spellEnd"/>
      <w:r w:rsidR="0042430B" w:rsidRPr="000F1636">
        <w:rPr>
          <w:i/>
          <w:sz w:val="28"/>
          <w:szCs w:val="28"/>
        </w:rPr>
        <w:t xml:space="preserve"> ЯБДК. Декомпенсация </w:t>
      </w:r>
      <w:proofErr w:type="spellStart"/>
      <w:r w:rsidR="0042430B" w:rsidRPr="000F1636">
        <w:rPr>
          <w:i/>
          <w:sz w:val="28"/>
          <w:szCs w:val="28"/>
        </w:rPr>
        <w:t>антрального</w:t>
      </w:r>
      <w:proofErr w:type="spellEnd"/>
      <w:r w:rsidR="0042430B" w:rsidRPr="000F1636">
        <w:rPr>
          <w:i/>
          <w:sz w:val="28"/>
          <w:szCs w:val="28"/>
        </w:rPr>
        <w:t xml:space="preserve"> ощелачивания также была тяжелее во 2-й группе, при этом имелось аномальное ночное снижение </w:t>
      </w:r>
      <w:proofErr w:type="spellStart"/>
      <w:r w:rsidR="0042430B" w:rsidRPr="000F1636">
        <w:rPr>
          <w:i/>
          <w:sz w:val="28"/>
          <w:szCs w:val="28"/>
        </w:rPr>
        <w:t>дуоденогастрального</w:t>
      </w:r>
      <w:proofErr w:type="spellEnd"/>
      <w:r w:rsidR="0042430B" w:rsidRPr="000F1636">
        <w:rPr>
          <w:i/>
          <w:sz w:val="28"/>
          <w:szCs w:val="28"/>
        </w:rPr>
        <w:t xml:space="preserve"> </w:t>
      </w:r>
      <w:proofErr w:type="spellStart"/>
      <w:r w:rsidR="0042430B" w:rsidRPr="000F1636">
        <w:rPr>
          <w:i/>
          <w:sz w:val="28"/>
          <w:szCs w:val="28"/>
        </w:rPr>
        <w:t>рефлюкса</w:t>
      </w:r>
      <w:proofErr w:type="spellEnd"/>
      <w:r w:rsidR="0042430B" w:rsidRPr="000F1636">
        <w:rPr>
          <w:i/>
          <w:sz w:val="28"/>
          <w:szCs w:val="28"/>
        </w:rPr>
        <w:t xml:space="preserve"> и нарушение циркадного ритма </w:t>
      </w:r>
      <w:proofErr w:type="spellStart"/>
      <w:r w:rsidR="0042430B" w:rsidRPr="000F1636">
        <w:rPr>
          <w:i/>
          <w:sz w:val="28"/>
          <w:szCs w:val="28"/>
        </w:rPr>
        <w:t>антральной</w:t>
      </w:r>
      <w:proofErr w:type="spellEnd"/>
      <w:r w:rsidR="0042430B" w:rsidRPr="000F1636">
        <w:rPr>
          <w:i/>
          <w:sz w:val="28"/>
          <w:szCs w:val="28"/>
        </w:rPr>
        <w:t xml:space="preserve"> кислотности. Дост</w:t>
      </w:r>
      <w:r w:rsidR="0042430B" w:rsidRPr="000F1636">
        <w:rPr>
          <w:i/>
          <w:sz w:val="28"/>
          <w:szCs w:val="28"/>
        </w:rPr>
        <w:t>а</w:t>
      </w:r>
      <w:r w:rsidR="0042430B" w:rsidRPr="000F1636">
        <w:rPr>
          <w:i/>
          <w:sz w:val="28"/>
          <w:szCs w:val="28"/>
        </w:rPr>
        <w:t xml:space="preserve">точный эффект </w:t>
      </w:r>
      <w:proofErr w:type="spellStart"/>
      <w:r w:rsidR="0042430B" w:rsidRPr="000F1636">
        <w:rPr>
          <w:i/>
          <w:sz w:val="28"/>
          <w:szCs w:val="28"/>
        </w:rPr>
        <w:t>антисекреторной</w:t>
      </w:r>
      <w:proofErr w:type="spellEnd"/>
      <w:r w:rsidR="0042430B" w:rsidRPr="000F1636">
        <w:rPr>
          <w:i/>
          <w:sz w:val="28"/>
          <w:szCs w:val="28"/>
        </w:rPr>
        <w:t xml:space="preserve"> терапии отмечен у 88,5% больных с </w:t>
      </w:r>
      <w:proofErr w:type="spellStart"/>
      <w:r w:rsidR="0042430B" w:rsidRPr="000F1636">
        <w:rPr>
          <w:i/>
          <w:sz w:val="28"/>
          <w:szCs w:val="28"/>
        </w:rPr>
        <w:t>нео</w:t>
      </w:r>
      <w:r w:rsidR="0042430B" w:rsidRPr="000F1636">
        <w:rPr>
          <w:i/>
          <w:sz w:val="28"/>
          <w:szCs w:val="28"/>
        </w:rPr>
        <w:t>с</w:t>
      </w:r>
      <w:r w:rsidR="0042430B" w:rsidRPr="000F1636">
        <w:rPr>
          <w:i/>
          <w:sz w:val="28"/>
          <w:szCs w:val="28"/>
        </w:rPr>
        <w:t>ложненным</w:t>
      </w:r>
      <w:proofErr w:type="spellEnd"/>
      <w:r w:rsidR="0042430B" w:rsidRPr="000F1636">
        <w:rPr>
          <w:i/>
          <w:sz w:val="28"/>
          <w:szCs w:val="28"/>
        </w:rPr>
        <w:t xml:space="preserve"> течением ЯБДК и 73% </w:t>
      </w:r>
      <w:r w:rsidR="00B8494F" w:rsidRPr="000F1636">
        <w:rPr>
          <w:i/>
          <w:sz w:val="28"/>
          <w:szCs w:val="28"/>
        </w:rPr>
        <w:t>–</w:t>
      </w:r>
      <w:r w:rsidR="0042430B" w:rsidRPr="000F1636">
        <w:rPr>
          <w:i/>
          <w:sz w:val="28"/>
          <w:szCs w:val="28"/>
        </w:rPr>
        <w:t xml:space="preserve"> с перфорацией в анамнезе. Через 14 дней рубцевание язвы было отмечено у 91,8% больных с </w:t>
      </w:r>
      <w:proofErr w:type="spellStart"/>
      <w:r w:rsidR="0042430B" w:rsidRPr="000F1636">
        <w:rPr>
          <w:i/>
          <w:sz w:val="28"/>
          <w:szCs w:val="28"/>
        </w:rPr>
        <w:t>неосложненным</w:t>
      </w:r>
      <w:proofErr w:type="spellEnd"/>
      <w:r w:rsidR="0042430B" w:rsidRPr="000F1636">
        <w:rPr>
          <w:i/>
          <w:sz w:val="28"/>
          <w:szCs w:val="28"/>
        </w:rPr>
        <w:t xml:space="preserve"> течением ЯБДК и у 75% </w:t>
      </w:r>
      <w:r w:rsidR="00B8494F" w:rsidRPr="000F1636">
        <w:rPr>
          <w:i/>
          <w:sz w:val="28"/>
          <w:szCs w:val="28"/>
        </w:rPr>
        <w:t>–</w:t>
      </w:r>
      <w:r w:rsidR="0042430B" w:rsidRPr="000F1636">
        <w:rPr>
          <w:i/>
          <w:sz w:val="28"/>
          <w:szCs w:val="28"/>
        </w:rPr>
        <w:t xml:space="preserve"> с осложненным течением. Средняя продолжительность ру</w:t>
      </w:r>
      <w:r w:rsidR="0042430B" w:rsidRPr="000F1636">
        <w:rPr>
          <w:i/>
          <w:sz w:val="28"/>
          <w:szCs w:val="28"/>
        </w:rPr>
        <w:t>б</w:t>
      </w:r>
      <w:r w:rsidR="0042430B" w:rsidRPr="000F1636">
        <w:rPr>
          <w:i/>
          <w:sz w:val="28"/>
          <w:szCs w:val="28"/>
        </w:rPr>
        <w:t>цевания язвы в 1-й группе составила 14,6</w:t>
      </w:r>
      <w:r w:rsidR="001441B6" w:rsidRPr="000F1636">
        <w:rPr>
          <w:i/>
          <w:sz w:val="28"/>
          <w:szCs w:val="28"/>
        </w:rPr>
        <w:t xml:space="preserve"> ± </w:t>
      </w:r>
      <w:r w:rsidR="0042430B" w:rsidRPr="000F1636">
        <w:rPr>
          <w:i/>
          <w:sz w:val="28"/>
          <w:szCs w:val="28"/>
        </w:rPr>
        <w:t>0,35 дня, а во 2-й – 15,9</w:t>
      </w:r>
      <w:r w:rsidR="001441B6" w:rsidRPr="000F1636">
        <w:rPr>
          <w:i/>
          <w:sz w:val="28"/>
          <w:szCs w:val="28"/>
        </w:rPr>
        <w:t xml:space="preserve"> ± </w:t>
      </w:r>
      <w:r w:rsidR="0042430B" w:rsidRPr="000F1636">
        <w:rPr>
          <w:i/>
          <w:sz w:val="28"/>
          <w:szCs w:val="28"/>
        </w:rPr>
        <w:t>0,24 дня.</w:t>
      </w:r>
    </w:p>
    <w:p w:rsidR="001B7193" w:rsidRPr="000F1636" w:rsidRDefault="001B7193" w:rsidP="000F1636">
      <w:pPr>
        <w:widowControl/>
        <w:autoSpaceDE/>
        <w:autoSpaceDN/>
        <w:adjustRightInd/>
        <w:ind w:firstLine="709"/>
        <w:contextualSpacing/>
        <w:jc w:val="both"/>
        <w:rPr>
          <w:i/>
          <w:sz w:val="28"/>
          <w:szCs w:val="28"/>
        </w:rPr>
      </w:pPr>
      <w:r w:rsidRPr="000F1636">
        <w:rPr>
          <w:i/>
          <w:sz w:val="28"/>
          <w:szCs w:val="28"/>
        </w:rPr>
        <w:t xml:space="preserve">Выводы: для больных ЯБДК, перенесших перфорацию язвы, характерна высокая и монотонная </w:t>
      </w:r>
      <w:proofErr w:type="spellStart"/>
      <w:r w:rsidRPr="000F1636">
        <w:rPr>
          <w:i/>
          <w:sz w:val="28"/>
          <w:szCs w:val="28"/>
        </w:rPr>
        <w:t>фундальная</w:t>
      </w:r>
      <w:proofErr w:type="spellEnd"/>
      <w:r w:rsidRPr="000F1636">
        <w:rPr>
          <w:i/>
          <w:sz w:val="28"/>
          <w:szCs w:val="28"/>
        </w:rPr>
        <w:t xml:space="preserve"> </w:t>
      </w:r>
      <w:proofErr w:type="spellStart"/>
      <w:r w:rsidRPr="000F1636">
        <w:rPr>
          <w:i/>
          <w:sz w:val="28"/>
          <w:szCs w:val="28"/>
        </w:rPr>
        <w:t>гиперацидность</w:t>
      </w:r>
      <w:proofErr w:type="spellEnd"/>
      <w:r w:rsidRPr="000F1636">
        <w:rPr>
          <w:i/>
          <w:sz w:val="28"/>
          <w:szCs w:val="28"/>
        </w:rPr>
        <w:t xml:space="preserve">, выраженное угнетение </w:t>
      </w:r>
      <w:proofErr w:type="spellStart"/>
      <w:r w:rsidRPr="000F1636">
        <w:rPr>
          <w:i/>
          <w:sz w:val="28"/>
          <w:szCs w:val="28"/>
        </w:rPr>
        <w:t>дуоденогастрального</w:t>
      </w:r>
      <w:proofErr w:type="spellEnd"/>
      <w:r w:rsidRPr="000F1636">
        <w:rPr>
          <w:i/>
          <w:sz w:val="28"/>
          <w:szCs w:val="28"/>
        </w:rPr>
        <w:t xml:space="preserve"> </w:t>
      </w:r>
      <w:proofErr w:type="spellStart"/>
      <w:r w:rsidRPr="000F1636">
        <w:rPr>
          <w:i/>
          <w:sz w:val="28"/>
          <w:szCs w:val="28"/>
        </w:rPr>
        <w:t>рефлюкса</w:t>
      </w:r>
      <w:proofErr w:type="spellEnd"/>
      <w:r w:rsidRPr="000F1636">
        <w:rPr>
          <w:i/>
          <w:sz w:val="28"/>
          <w:szCs w:val="28"/>
        </w:rPr>
        <w:t xml:space="preserve"> и тяжелая декомпенсация </w:t>
      </w:r>
      <w:proofErr w:type="spellStart"/>
      <w:r w:rsidRPr="000F1636">
        <w:rPr>
          <w:i/>
          <w:sz w:val="28"/>
          <w:szCs w:val="28"/>
        </w:rPr>
        <w:t>антрального</w:t>
      </w:r>
      <w:proofErr w:type="spellEnd"/>
      <w:r w:rsidRPr="000F1636">
        <w:rPr>
          <w:i/>
          <w:sz w:val="28"/>
          <w:szCs w:val="28"/>
        </w:rPr>
        <w:t xml:space="preserve"> ощел</w:t>
      </w:r>
      <w:r w:rsidRPr="000F1636">
        <w:rPr>
          <w:i/>
          <w:sz w:val="28"/>
          <w:szCs w:val="28"/>
        </w:rPr>
        <w:t>а</w:t>
      </w:r>
      <w:r w:rsidRPr="000F1636">
        <w:rPr>
          <w:i/>
          <w:sz w:val="28"/>
          <w:szCs w:val="28"/>
        </w:rPr>
        <w:t xml:space="preserve">чивания. При этом стандартные дозы </w:t>
      </w:r>
      <w:proofErr w:type="spellStart"/>
      <w:r w:rsidRPr="000F1636">
        <w:rPr>
          <w:i/>
          <w:sz w:val="28"/>
          <w:szCs w:val="28"/>
        </w:rPr>
        <w:t>генериков</w:t>
      </w:r>
      <w:proofErr w:type="spellEnd"/>
      <w:r w:rsidRPr="000F1636">
        <w:rPr>
          <w:i/>
          <w:sz w:val="28"/>
          <w:szCs w:val="28"/>
        </w:rPr>
        <w:t xml:space="preserve"> </w:t>
      </w:r>
      <w:proofErr w:type="spellStart"/>
      <w:r w:rsidRPr="000F1636">
        <w:rPr>
          <w:i/>
          <w:sz w:val="28"/>
          <w:szCs w:val="28"/>
        </w:rPr>
        <w:t>омепразола</w:t>
      </w:r>
      <w:proofErr w:type="spellEnd"/>
      <w:r w:rsidRPr="000F1636">
        <w:rPr>
          <w:i/>
          <w:sz w:val="28"/>
          <w:szCs w:val="28"/>
        </w:rPr>
        <w:t xml:space="preserve"> неэффективны у четверти больных,</w:t>
      </w:r>
      <w:r w:rsidR="006D0E10" w:rsidRPr="000F1636">
        <w:rPr>
          <w:i/>
          <w:sz w:val="28"/>
          <w:szCs w:val="28"/>
        </w:rPr>
        <w:t xml:space="preserve"> перенесших перфорацию,</w:t>
      </w:r>
      <w:r w:rsidRPr="000F1636">
        <w:rPr>
          <w:i/>
          <w:sz w:val="28"/>
          <w:szCs w:val="28"/>
        </w:rPr>
        <w:t xml:space="preserve"> что сопровождается значимым увеличением сроков рубцевания язвенного дефекта в данной группе.</w:t>
      </w:r>
    </w:p>
    <w:p w:rsidR="00CA2F9F" w:rsidRPr="000F1636" w:rsidRDefault="00CA2F9F" w:rsidP="000F1636">
      <w:pPr>
        <w:widowControl/>
        <w:autoSpaceDE/>
        <w:autoSpaceDN/>
        <w:adjustRightInd/>
        <w:ind w:firstLine="709"/>
        <w:contextualSpacing/>
        <w:jc w:val="both"/>
        <w:rPr>
          <w:i/>
          <w:sz w:val="28"/>
          <w:szCs w:val="28"/>
        </w:rPr>
      </w:pPr>
      <w:r w:rsidRPr="000F1636">
        <w:rPr>
          <w:b/>
          <w:i/>
          <w:sz w:val="28"/>
          <w:szCs w:val="28"/>
        </w:rPr>
        <w:t>Ключевые слова:</w:t>
      </w:r>
      <w:r w:rsidRPr="000F1636">
        <w:rPr>
          <w:i/>
          <w:sz w:val="28"/>
          <w:szCs w:val="28"/>
        </w:rPr>
        <w:t xml:space="preserve"> язвенная болезнь, перфорация язвы, суточная </w:t>
      </w:r>
      <w:proofErr w:type="spellStart"/>
      <w:r w:rsidRPr="000F1636">
        <w:rPr>
          <w:i/>
          <w:sz w:val="28"/>
          <w:szCs w:val="28"/>
        </w:rPr>
        <w:t>рН-метрия</w:t>
      </w:r>
      <w:proofErr w:type="spellEnd"/>
      <w:r w:rsidRPr="000F1636">
        <w:rPr>
          <w:i/>
          <w:sz w:val="28"/>
          <w:szCs w:val="28"/>
        </w:rPr>
        <w:t>.</w:t>
      </w:r>
    </w:p>
    <w:p w:rsidR="001B7193" w:rsidRPr="000F1636" w:rsidRDefault="001B7193" w:rsidP="000F1636">
      <w:pPr>
        <w:ind w:firstLine="709"/>
        <w:jc w:val="both"/>
        <w:rPr>
          <w:sz w:val="28"/>
          <w:szCs w:val="28"/>
        </w:rPr>
      </w:pPr>
    </w:p>
    <w:p w:rsidR="00042C16" w:rsidRPr="000F1636" w:rsidRDefault="00042C16" w:rsidP="000F1636">
      <w:pPr>
        <w:ind w:firstLine="709"/>
        <w:jc w:val="both"/>
        <w:rPr>
          <w:b/>
          <w:sz w:val="28"/>
          <w:szCs w:val="28"/>
          <w:lang w:val="en-US"/>
        </w:rPr>
      </w:pPr>
      <w:r w:rsidRPr="000F1636">
        <w:rPr>
          <w:b/>
          <w:sz w:val="28"/>
          <w:szCs w:val="28"/>
          <w:lang w:val="en-US"/>
        </w:rPr>
        <w:t>Functional features and efficiency</w:t>
      </w:r>
      <w:r w:rsidR="0023356D" w:rsidRPr="000F1636">
        <w:rPr>
          <w:b/>
          <w:sz w:val="28"/>
          <w:szCs w:val="28"/>
          <w:lang w:val="en-US"/>
        </w:rPr>
        <w:t xml:space="preserve"> </w:t>
      </w:r>
      <w:r w:rsidRPr="000F1636">
        <w:rPr>
          <w:b/>
          <w:sz w:val="28"/>
          <w:szCs w:val="28"/>
          <w:lang w:val="en-US"/>
        </w:rPr>
        <w:t>of acid suppression in patients with d</w:t>
      </w:r>
      <w:r w:rsidRPr="000F1636">
        <w:rPr>
          <w:b/>
          <w:sz w:val="28"/>
          <w:szCs w:val="28"/>
          <w:lang w:val="en-US"/>
        </w:rPr>
        <w:t>u</w:t>
      </w:r>
      <w:r w:rsidRPr="000F1636">
        <w:rPr>
          <w:b/>
          <w:sz w:val="28"/>
          <w:szCs w:val="28"/>
          <w:lang w:val="en-US"/>
        </w:rPr>
        <w:t>odenal peptic ulcer who underwent the ulcer perforation</w:t>
      </w:r>
    </w:p>
    <w:p w:rsidR="00042C16" w:rsidRPr="000F1636" w:rsidRDefault="00042C16" w:rsidP="000F1636">
      <w:pPr>
        <w:ind w:firstLine="709"/>
        <w:jc w:val="both"/>
        <w:rPr>
          <w:sz w:val="28"/>
          <w:szCs w:val="28"/>
          <w:lang w:val="en-US"/>
        </w:rPr>
      </w:pPr>
      <w:r w:rsidRPr="000F1636">
        <w:rPr>
          <w:sz w:val="28"/>
          <w:szCs w:val="28"/>
          <w:lang w:val="en-US"/>
        </w:rPr>
        <w:t xml:space="preserve">L.A. </w:t>
      </w:r>
      <w:proofErr w:type="spellStart"/>
      <w:r w:rsidRPr="000F1636">
        <w:rPr>
          <w:sz w:val="28"/>
          <w:szCs w:val="28"/>
          <w:lang w:val="en-US"/>
        </w:rPr>
        <w:t>Lubskaia</w:t>
      </w:r>
      <w:proofErr w:type="spellEnd"/>
      <w:r w:rsidRPr="000F1636">
        <w:rPr>
          <w:sz w:val="28"/>
          <w:szCs w:val="28"/>
          <w:lang w:val="en-US"/>
        </w:rPr>
        <w:t xml:space="preserve">, I. Yu. </w:t>
      </w:r>
      <w:proofErr w:type="spellStart"/>
      <w:r w:rsidRPr="000F1636">
        <w:rPr>
          <w:sz w:val="28"/>
          <w:szCs w:val="28"/>
          <w:lang w:val="en-US"/>
        </w:rPr>
        <w:t>Kolesnikova</w:t>
      </w:r>
      <w:proofErr w:type="spellEnd"/>
    </w:p>
    <w:p w:rsidR="00042C16" w:rsidRPr="000F1636" w:rsidRDefault="00042C16" w:rsidP="000F1636">
      <w:pPr>
        <w:ind w:firstLine="709"/>
        <w:jc w:val="both"/>
        <w:rPr>
          <w:sz w:val="28"/>
          <w:szCs w:val="28"/>
          <w:lang w:val="en-US"/>
        </w:rPr>
      </w:pPr>
      <w:proofErr w:type="spellStart"/>
      <w:r w:rsidRPr="000F1636">
        <w:rPr>
          <w:sz w:val="28"/>
          <w:szCs w:val="28"/>
          <w:lang w:val="en-US"/>
        </w:rPr>
        <w:t>Tver</w:t>
      </w:r>
      <w:proofErr w:type="spellEnd"/>
      <w:r w:rsidRPr="000F1636">
        <w:rPr>
          <w:sz w:val="28"/>
          <w:szCs w:val="28"/>
          <w:lang w:val="en-US"/>
        </w:rPr>
        <w:t xml:space="preserve"> States Medical</w:t>
      </w:r>
      <w:r w:rsidR="0023356D" w:rsidRPr="000F1636">
        <w:rPr>
          <w:sz w:val="28"/>
          <w:szCs w:val="28"/>
          <w:lang w:val="en-US"/>
        </w:rPr>
        <w:t xml:space="preserve"> </w:t>
      </w:r>
      <w:r w:rsidRPr="000F1636">
        <w:rPr>
          <w:sz w:val="28"/>
          <w:szCs w:val="28"/>
          <w:lang w:val="en-US"/>
        </w:rPr>
        <w:t>Academy</w:t>
      </w:r>
    </w:p>
    <w:p w:rsidR="000F1636" w:rsidRPr="008B55F6" w:rsidRDefault="000F1636" w:rsidP="000F1636">
      <w:pPr>
        <w:ind w:firstLine="709"/>
        <w:jc w:val="both"/>
        <w:rPr>
          <w:sz w:val="28"/>
          <w:szCs w:val="28"/>
          <w:lang w:val="en-US"/>
        </w:rPr>
      </w:pPr>
    </w:p>
    <w:p w:rsidR="00042C16" w:rsidRPr="000F1636" w:rsidRDefault="00042C16" w:rsidP="000F1636">
      <w:pPr>
        <w:ind w:firstLine="709"/>
        <w:jc w:val="both"/>
        <w:rPr>
          <w:i/>
          <w:sz w:val="28"/>
          <w:szCs w:val="28"/>
          <w:lang w:val="en-US"/>
        </w:rPr>
      </w:pPr>
      <w:r w:rsidRPr="000F1636">
        <w:rPr>
          <w:i/>
          <w:sz w:val="28"/>
          <w:szCs w:val="28"/>
          <w:lang w:val="en-US"/>
        </w:rPr>
        <w:lastRenderedPageBreak/>
        <w:t xml:space="preserve">Aim of the study: Comparison of features of acid formation and </w:t>
      </w:r>
      <w:proofErr w:type="spellStart"/>
      <w:r w:rsidRPr="000F1636">
        <w:rPr>
          <w:i/>
          <w:sz w:val="28"/>
          <w:szCs w:val="28"/>
          <w:lang w:val="en-US"/>
        </w:rPr>
        <w:t>alkalinization</w:t>
      </w:r>
      <w:proofErr w:type="spellEnd"/>
      <w:r w:rsidRPr="000F1636">
        <w:rPr>
          <w:i/>
          <w:sz w:val="28"/>
          <w:szCs w:val="28"/>
          <w:lang w:val="en-US"/>
        </w:rPr>
        <w:t xml:space="preserve"> in the stomach, of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 xml:space="preserve">the results of standard </w:t>
      </w:r>
      <w:proofErr w:type="spellStart"/>
      <w:r w:rsidRPr="000F1636">
        <w:rPr>
          <w:i/>
          <w:sz w:val="28"/>
          <w:szCs w:val="28"/>
          <w:lang w:val="en-US"/>
        </w:rPr>
        <w:t>antisecretory</w:t>
      </w:r>
      <w:proofErr w:type="spellEnd"/>
      <w:r w:rsidRPr="000F1636">
        <w:rPr>
          <w:i/>
          <w:sz w:val="28"/>
          <w:szCs w:val="28"/>
          <w:lang w:val="en-US"/>
        </w:rPr>
        <w:t xml:space="preserve"> therapy in patients with du</w:t>
      </w:r>
      <w:r w:rsidRPr="000F1636">
        <w:rPr>
          <w:i/>
          <w:sz w:val="28"/>
          <w:szCs w:val="28"/>
          <w:lang w:val="en-US"/>
        </w:rPr>
        <w:t>o</w:t>
      </w:r>
      <w:r w:rsidRPr="000F1636">
        <w:rPr>
          <w:i/>
          <w:sz w:val="28"/>
          <w:szCs w:val="28"/>
          <w:lang w:val="en-US"/>
        </w:rPr>
        <w:t>denal peptic ulcer (DPU) who underwent in their anamnesis the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ulcer perforation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with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the patients with uncomplicated disease course.</w:t>
      </w:r>
    </w:p>
    <w:p w:rsidR="00042C16" w:rsidRPr="000F1636" w:rsidRDefault="00042C16" w:rsidP="000F1636">
      <w:pPr>
        <w:ind w:firstLine="709"/>
        <w:jc w:val="both"/>
        <w:rPr>
          <w:i/>
          <w:sz w:val="28"/>
          <w:szCs w:val="28"/>
          <w:lang w:val="en-US"/>
        </w:rPr>
      </w:pPr>
      <w:proofErr w:type="gramStart"/>
      <w:r w:rsidRPr="000F1636">
        <w:rPr>
          <w:i/>
          <w:sz w:val="28"/>
          <w:szCs w:val="28"/>
          <w:lang w:val="en-US"/>
        </w:rPr>
        <w:t>Materials and methods.</w:t>
      </w:r>
      <w:proofErr w:type="gramEnd"/>
      <w:r w:rsidRPr="000F1636">
        <w:rPr>
          <w:i/>
          <w:sz w:val="28"/>
          <w:szCs w:val="28"/>
          <w:lang w:val="en-US"/>
        </w:rPr>
        <w:t xml:space="preserve"> 113 patients with DPU </w:t>
      </w:r>
      <w:proofErr w:type="spellStart"/>
      <w:r w:rsidRPr="000F1636">
        <w:rPr>
          <w:i/>
          <w:sz w:val="28"/>
          <w:szCs w:val="28"/>
          <w:lang w:val="en-US"/>
        </w:rPr>
        <w:t>reccurence</w:t>
      </w:r>
      <w:proofErr w:type="spellEnd"/>
      <w:r w:rsidRPr="000F1636">
        <w:rPr>
          <w:i/>
          <w:sz w:val="28"/>
          <w:szCs w:val="28"/>
          <w:lang w:val="en-US"/>
        </w:rPr>
        <w:t xml:space="preserve"> phase were exa</w:t>
      </w:r>
      <w:r w:rsidRPr="000F1636">
        <w:rPr>
          <w:i/>
          <w:sz w:val="28"/>
          <w:szCs w:val="28"/>
          <w:lang w:val="en-US"/>
        </w:rPr>
        <w:t>m</w:t>
      </w:r>
      <w:r w:rsidRPr="000F1636">
        <w:rPr>
          <w:i/>
          <w:sz w:val="28"/>
          <w:szCs w:val="28"/>
          <w:lang w:val="en-US"/>
        </w:rPr>
        <w:t>ined, the 1-</w:t>
      </w:r>
      <w:proofErr w:type="spellStart"/>
      <w:r w:rsidRPr="000F1636">
        <w:rPr>
          <w:i/>
          <w:sz w:val="28"/>
          <w:szCs w:val="28"/>
          <w:lang w:val="en-US"/>
        </w:rPr>
        <w:t>st</w:t>
      </w:r>
      <w:proofErr w:type="spellEnd"/>
      <w:r w:rsidRPr="000F1636">
        <w:rPr>
          <w:i/>
          <w:sz w:val="28"/>
          <w:szCs w:val="28"/>
          <w:lang w:val="en-US"/>
        </w:rPr>
        <w:t xml:space="preserve"> group included 61 patients who had uncomplicated DPU course, the 2-</w:t>
      </w:r>
      <w:proofErr w:type="spellStart"/>
      <w:r w:rsidRPr="000F1636">
        <w:rPr>
          <w:i/>
          <w:sz w:val="28"/>
          <w:szCs w:val="28"/>
          <w:lang w:val="en-US"/>
        </w:rPr>
        <w:t>nd</w:t>
      </w:r>
      <w:proofErr w:type="spellEnd"/>
      <w:r w:rsidRPr="000F1636">
        <w:rPr>
          <w:i/>
          <w:sz w:val="28"/>
          <w:szCs w:val="28"/>
          <w:lang w:val="en-US"/>
        </w:rPr>
        <w:t xml:space="preserve"> group </w:t>
      </w:r>
      <w:r w:rsidR="00B8494F" w:rsidRPr="000F1636">
        <w:rPr>
          <w:i/>
          <w:sz w:val="28"/>
          <w:szCs w:val="28"/>
          <w:lang w:val="en-US"/>
        </w:rPr>
        <w:t>–</w:t>
      </w:r>
      <w:r w:rsidRPr="000F1636">
        <w:rPr>
          <w:i/>
          <w:sz w:val="28"/>
          <w:szCs w:val="28"/>
          <w:lang w:val="en-US"/>
        </w:rPr>
        <w:t xml:space="preserve"> 52 patients who had ulcer perforation in their anamnesis. In all patients </w:t>
      </w:r>
      <w:proofErr w:type="spellStart"/>
      <w:r w:rsidRPr="000F1636">
        <w:rPr>
          <w:i/>
          <w:sz w:val="28"/>
          <w:szCs w:val="28"/>
          <w:lang w:val="en-US"/>
        </w:rPr>
        <w:t>esophagogastroduodenoscopy</w:t>
      </w:r>
      <w:proofErr w:type="spellEnd"/>
      <w:r w:rsidRPr="000F1636">
        <w:rPr>
          <w:i/>
          <w:sz w:val="28"/>
          <w:szCs w:val="28"/>
          <w:lang w:val="en-US"/>
        </w:rPr>
        <w:t xml:space="preserve">, respiratory </w:t>
      </w:r>
      <w:proofErr w:type="spellStart"/>
      <w:r w:rsidRPr="000F1636">
        <w:rPr>
          <w:i/>
          <w:sz w:val="28"/>
          <w:szCs w:val="28"/>
          <w:lang w:val="en-US"/>
        </w:rPr>
        <w:t>urease</w:t>
      </w:r>
      <w:proofErr w:type="spellEnd"/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 xml:space="preserve">test, daily </w:t>
      </w:r>
      <w:proofErr w:type="spellStart"/>
      <w:r w:rsidRPr="000F1636">
        <w:rPr>
          <w:i/>
          <w:sz w:val="28"/>
          <w:szCs w:val="28"/>
          <w:lang w:val="en-US"/>
        </w:rPr>
        <w:t>intragastric</w:t>
      </w:r>
      <w:proofErr w:type="spellEnd"/>
      <w:r w:rsidRPr="000F1636">
        <w:rPr>
          <w:i/>
          <w:sz w:val="28"/>
          <w:szCs w:val="28"/>
          <w:lang w:val="en-US"/>
        </w:rPr>
        <w:t xml:space="preserve"> monitoring of pH before treatment administration and on the 5-</w:t>
      </w:r>
      <w:proofErr w:type="spellStart"/>
      <w:r w:rsidRPr="000F1636">
        <w:rPr>
          <w:i/>
          <w:sz w:val="28"/>
          <w:szCs w:val="28"/>
          <w:lang w:val="en-US"/>
        </w:rPr>
        <w:t>th</w:t>
      </w:r>
      <w:proofErr w:type="spellEnd"/>
      <w:r w:rsidRPr="000F1636">
        <w:rPr>
          <w:i/>
          <w:sz w:val="28"/>
          <w:szCs w:val="28"/>
          <w:lang w:val="en-US"/>
        </w:rPr>
        <w:t xml:space="preserve"> day of standard therapy </w:t>
      </w:r>
      <w:proofErr w:type="gramStart"/>
      <w:r w:rsidRPr="000F1636">
        <w:rPr>
          <w:i/>
          <w:sz w:val="28"/>
          <w:szCs w:val="28"/>
          <w:lang w:val="en-US"/>
        </w:rPr>
        <w:t>were</w:t>
      </w:r>
      <w:proofErr w:type="gramEnd"/>
      <w:r w:rsidRPr="000F1636">
        <w:rPr>
          <w:i/>
          <w:sz w:val="28"/>
          <w:szCs w:val="28"/>
          <w:lang w:val="en-US"/>
        </w:rPr>
        <w:t xml:space="preserve"> performed. Endoscopic dynamics of the ulcer defect </w:t>
      </w:r>
      <w:proofErr w:type="spellStart"/>
      <w:r w:rsidRPr="000F1636">
        <w:rPr>
          <w:i/>
          <w:sz w:val="28"/>
          <w:szCs w:val="28"/>
          <w:lang w:val="en-US"/>
        </w:rPr>
        <w:t>cicatrisation</w:t>
      </w:r>
      <w:proofErr w:type="spellEnd"/>
      <w:r w:rsidRPr="000F1636">
        <w:rPr>
          <w:i/>
          <w:sz w:val="28"/>
          <w:szCs w:val="28"/>
          <w:lang w:val="en-US"/>
        </w:rPr>
        <w:t xml:space="preserve"> was evaluated.</w:t>
      </w:r>
    </w:p>
    <w:p w:rsidR="00042C16" w:rsidRPr="000F1636" w:rsidRDefault="00042C16" w:rsidP="000F1636">
      <w:pPr>
        <w:ind w:firstLine="709"/>
        <w:jc w:val="both"/>
        <w:rPr>
          <w:i/>
          <w:sz w:val="28"/>
          <w:szCs w:val="28"/>
          <w:lang w:val="en-US"/>
        </w:rPr>
      </w:pPr>
      <w:r w:rsidRPr="000F1636">
        <w:rPr>
          <w:i/>
          <w:sz w:val="28"/>
          <w:szCs w:val="28"/>
          <w:lang w:val="en-US"/>
        </w:rPr>
        <w:t>Results: In complicated course acidity in the gastric body was higher and monotonic over circadian period than in uncomplicated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 xml:space="preserve">DPU. </w:t>
      </w:r>
      <w:proofErr w:type="spellStart"/>
      <w:r w:rsidRPr="000F1636">
        <w:rPr>
          <w:i/>
          <w:sz w:val="28"/>
          <w:szCs w:val="28"/>
          <w:lang w:val="en-US"/>
        </w:rPr>
        <w:t>Decompensation</w:t>
      </w:r>
      <w:proofErr w:type="spellEnd"/>
      <w:r w:rsidRPr="000F1636">
        <w:rPr>
          <w:i/>
          <w:sz w:val="28"/>
          <w:szCs w:val="28"/>
          <w:lang w:val="en-US"/>
        </w:rPr>
        <w:t xml:space="preserve"> of </w:t>
      </w:r>
      <w:proofErr w:type="spellStart"/>
      <w:r w:rsidRPr="000F1636">
        <w:rPr>
          <w:i/>
          <w:sz w:val="28"/>
          <w:szCs w:val="28"/>
          <w:lang w:val="en-US"/>
        </w:rPr>
        <w:t>antral</w:t>
      </w:r>
      <w:proofErr w:type="spellEnd"/>
      <w:r w:rsidRPr="000F1636">
        <w:rPr>
          <w:i/>
          <w:sz w:val="28"/>
          <w:szCs w:val="28"/>
          <w:lang w:val="en-US"/>
        </w:rPr>
        <w:t xml:space="preserve"> </w:t>
      </w:r>
      <w:proofErr w:type="spellStart"/>
      <w:r w:rsidRPr="000F1636">
        <w:rPr>
          <w:i/>
          <w:sz w:val="28"/>
          <w:szCs w:val="28"/>
          <w:lang w:val="en-US"/>
        </w:rPr>
        <w:t>alkalinization</w:t>
      </w:r>
      <w:proofErr w:type="spellEnd"/>
      <w:r w:rsidRPr="000F1636">
        <w:rPr>
          <w:i/>
          <w:sz w:val="28"/>
          <w:szCs w:val="28"/>
          <w:lang w:val="en-US"/>
        </w:rPr>
        <w:t xml:space="preserve"> was also more severe in the 2-</w:t>
      </w:r>
      <w:proofErr w:type="spellStart"/>
      <w:r w:rsidRPr="000F1636">
        <w:rPr>
          <w:i/>
          <w:sz w:val="28"/>
          <w:szCs w:val="28"/>
          <w:lang w:val="en-US"/>
        </w:rPr>
        <w:t>nd</w:t>
      </w:r>
      <w:proofErr w:type="spellEnd"/>
      <w:r w:rsidRPr="000F1636">
        <w:rPr>
          <w:i/>
          <w:sz w:val="28"/>
          <w:szCs w:val="28"/>
          <w:lang w:val="en-US"/>
        </w:rPr>
        <w:t xml:space="preserve"> group. Sufficient effect of </w:t>
      </w:r>
      <w:proofErr w:type="spellStart"/>
      <w:r w:rsidRPr="000F1636">
        <w:rPr>
          <w:i/>
          <w:sz w:val="28"/>
          <w:szCs w:val="28"/>
          <w:lang w:val="en-US"/>
        </w:rPr>
        <w:t>antisecretory</w:t>
      </w:r>
      <w:proofErr w:type="spellEnd"/>
      <w:r w:rsidRPr="000F1636">
        <w:rPr>
          <w:i/>
          <w:sz w:val="28"/>
          <w:szCs w:val="28"/>
          <w:lang w:val="en-US"/>
        </w:rPr>
        <w:t xml:space="preserve"> therapy was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noted in 88</w:t>
      </w:r>
      <w:proofErr w:type="gramStart"/>
      <w:r w:rsidRPr="000F1636">
        <w:rPr>
          <w:i/>
          <w:sz w:val="28"/>
          <w:szCs w:val="28"/>
          <w:lang w:val="en-US"/>
        </w:rPr>
        <w:t>,5</w:t>
      </w:r>
      <w:proofErr w:type="gramEnd"/>
      <w:r w:rsidRPr="000F1636">
        <w:rPr>
          <w:i/>
          <w:sz w:val="28"/>
          <w:szCs w:val="28"/>
          <w:lang w:val="en-US"/>
        </w:rPr>
        <w:t>% of patients with uncomplicated DPU course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 xml:space="preserve">and in 73% </w:t>
      </w:r>
      <w:r w:rsidR="00B8494F" w:rsidRPr="000F1636">
        <w:rPr>
          <w:i/>
          <w:sz w:val="28"/>
          <w:szCs w:val="28"/>
          <w:lang w:val="en-US"/>
        </w:rPr>
        <w:t>–</w:t>
      </w:r>
      <w:r w:rsidRPr="000F1636">
        <w:rPr>
          <w:i/>
          <w:sz w:val="28"/>
          <w:szCs w:val="28"/>
          <w:lang w:val="en-US"/>
        </w:rPr>
        <w:t xml:space="preserve"> with perforation in the anamneses. In 14 day scarring of the u</w:t>
      </w:r>
      <w:r w:rsidRPr="000F1636">
        <w:rPr>
          <w:i/>
          <w:sz w:val="28"/>
          <w:szCs w:val="28"/>
          <w:lang w:val="en-US"/>
        </w:rPr>
        <w:t>l</w:t>
      </w:r>
      <w:r w:rsidRPr="000F1636">
        <w:rPr>
          <w:i/>
          <w:sz w:val="28"/>
          <w:szCs w:val="28"/>
          <w:lang w:val="en-US"/>
        </w:rPr>
        <w:t>cer was observed in 91</w:t>
      </w:r>
      <w:proofErr w:type="gramStart"/>
      <w:r w:rsidRPr="000F1636">
        <w:rPr>
          <w:i/>
          <w:sz w:val="28"/>
          <w:szCs w:val="28"/>
          <w:lang w:val="en-US"/>
        </w:rPr>
        <w:t>,8</w:t>
      </w:r>
      <w:proofErr w:type="gramEnd"/>
      <w:r w:rsidRPr="000F1636">
        <w:rPr>
          <w:i/>
          <w:sz w:val="28"/>
          <w:szCs w:val="28"/>
          <w:lang w:val="en-US"/>
        </w:rPr>
        <w:t>%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and in 75% of cases respectively.</w:t>
      </w:r>
    </w:p>
    <w:p w:rsidR="00042C16" w:rsidRPr="000F1636" w:rsidRDefault="00042C16" w:rsidP="000F1636">
      <w:pPr>
        <w:ind w:firstLine="709"/>
        <w:jc w:val="both"/>
        <w:rPr>
          <w:i/>
          <w:sz w:val="28"/>
          <w:szCs w:val="28"/>
          <w:lang w:val="en-US"/>
        </w:rPr>
      </w:pPr>
      <w:r w:rsidRPr="000F1636">
        <w:rPr>
          <w:i/>
          <w:sz w:val="28"/>
          <w:szCs w:val="28"/>
          <w:lang w:val="en-US"/>
        </w:rPr>
        <w:t xml:space="preserve">Conclusions: High and monotonic </w:t>
      </w:r>
      <w:proofErr w:type="spellStart"/>
      <w:r w:rsidRPr="000F1636">
        <w:rPr>
          <w:i/>
          <w:sz w:val="28"/>
          <w:szCs w:val="28"/>
          <w:lang w:val="en-US"/>
        </w:rPr>
        <w:t>fundal</w:t>
      </w:r>
      <w:proofErr w:type="spellEnd"/>
      <w:r w:rsidRPr="000F1636">
        <w:rPr>
          <w:i/>
          <w:sz w:val="28"/>
          <w:szCs w:val="28"/>
          <w:lang w:val="en-US"/>
        </w:rPr>
        <w:t xml:space="preserve"> hyperacidity, marked inhibition of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proofErr w:type="spellStart"/>
      <w:r w:rsidRPr="000F1636">
        <w:rPr>
          <w:i/>
          <w:sz w:val="28"/>
          <w:szCs w:val="28"/>
          <w:lang w:val="en-US"/>
        </w:rPr>
        <w:t>duodenogastral</w:t>
      </w:r>
      <w:proofErr w:type="spellEnd"/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reflux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 xml:space="preserve">and severe </w:t>
      </w:r>
      <w:proofErr w:type="spellStart"/>
      <w:r w:rsidRPr="000F1636">
        <w:rPr>
          <w:i/>
          <w:sz w:val="28"/>
          <w:szCs w:val="28"/>
          <w:lang w:val="en-US"/>
        </w:rPr>
        <w:t>decompensation</w:t>
      </w:r>
      <w:proofErr w:type="spellEnd"/>
      <w:r w:rsidRPr="000F1636">
        <w:rPr>
          <w:i/>
          <w:sz w:val="28"/>
          <w:szCs w:val="28"/>
          <w:lang w:val="en-US"/>
        </w:rPr>
        <w:t xml:space="preserve"> of </w:t>
      </w:r>
      <w:proofErr w:type="spellStart"/>
      <w:r w:rsidRPr="000F1636">
        <w:rPr>
          <w:i/>
          <w:sz w:val="28"/>
          <w:szCs w:val="28"/>
          <w:lang w:val="en-US"/>
        </w:rPr>
        <w:t>antral</w:t>
      </w:r>
      <w:proofErr w:type="spellEnd"/>
      <w:r w:rsidRPr="000F1636">
        <w:rPr>
          <w:i/>
          <w:sz w:val="28"/>
          <w:szCs w:val="28"/>
          <w:lang w:val="en-US"/>
        </w:rPr>
        <w:t xml:space="preserve"> </w:t>
      </w:r>
      <w:proofErr w:type="spellStart"/>
      <w:r w:rsidRPr="000F1636">
        <w:rPr>
          <w:i/>
          <w:sz w:val="28"/>
          <w:szCs w:val="28"/>
          <w:lang w:val="en-US"/>
        </w:rPr>
        <w:t>alkalinization</w:t>
      </w:r>
      <w:proofErr w:type="spellEnd"/>
      <w:r w:rsidRPr="000F1636">
        <w:rPr>
          <w:i/>
          <w:sz w:val="28"/>
          <w:szCs w:val="28"/>
          <w:lang w:val="en-US"/>
        </w:rPr>
        <w:t xml:space="preserve"> were cha</w:t>
      </w:r>
      <w:r w:rsidRPr="000F1636">
        <w:rPr>
          <w:i/>
          <w:sz w:val="28"/>
          <w:szCs w:val="28"/>
          <w:lang w:val="en-US"/>
        </w:rPr>
        <w:t>r</w:t>
      </w:r>
      <w:r w:rsidRPr="000F1636">
        <w:rPr>
          <w:i/>
          <w:sz w:val="28"/>
          <w:szCs w:val="28"/>
          <w:lang w:val="en-US"/>
        </w:rPr>
        <w:t>acteristic of DPU patients who underwent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the ulcer perforation. With these,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 xml:space="preserve">standard doses of </w:t>
      </w:r>
      <w:proofErr w:type="spellStart"/>
      <w:r w:rsidRPr="000F1636">
        <w:rPr>
          <w:i/>
          <w:sz w:val="28"/>
          <w:szCs w:val="28"/>
          <w:lang w:val="en-US"/>
        </w:rPr>
        <w:t>omeprazole</w:t>
      </w:r>
      <w:proofErr w:type="spellEnd"/>
      <w:r w:rsidRPr="000F1636">
        <w:rPr>
          <w:i/>
          <w:sz w:val="28"/>
          <w:szCs w:val="28"/>
          <w:lang w:val="en-US"/>
        </w:rPr>
        <w:t xml:space="preserve"> were ineffective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in a quarter of patients who underwent</w:t>
      </w:r>
      <w:r w:rsidR="0023356D" w:rsidRPr="000F1636">
        <w:rPr>
          <w:i/>
          <w:sz w:val="28"/>
          <w:szCs w:val="28"/>
          <w:lang w:val="en-US"/>
        </w:rPr>
        <w:t xml:space="preserve"> </w:t>
      </w:r>
      <w:r w:rsidRPr="000F1636">
        <w:rPr>
          <w:i/>
          <w:sz w:val="28"/>
          <w:szCs w:val="28"/>
          <w:lang w:val="en-US"/>
        </w:rPr>
        <w:t>perfor</w:t>
      </w:r>
      <w:r w:rsidRPr="000F1636">
        <w:rPr>
          <w:i/>
          <w:sz w:val="28"/>
          <w:szCs w:val="28"/>
          <w:lang w:val="en-US"/>
        </w:rPr>
        <w:t>a</w:t>
      </w:r>
      <w:r w:rsidRPr="000F1636">
        <w:rPr>
          <w:i/>
          <w:sz w:val="28"/>
          <w:szCs w:val="28"/>
          <w:lang w:val="en-US"/>
        </w:rPr>
        <w:t>tion and this is accompanied by significant increase of the terms of scarring of the ulcer defect in this group.</w:t>
      </w:r>
    </w:p>
    <w:p w:rsidR="00042C16" w:rsidRPr="000F1636" w:rsidRDefault="00042C16" w:rsidP="000F1636">
      <w:pPr>
        <w:ind w:firstLine="709"/>
        <w:jc w:val="both"/>
        <w:rPr>
          <w:i/>
          <w:sz w:val="28"/>
          <w:szCs w:val="28"/>
          <w:lang w:val="en-US"/>
        </w:rPr>
      </w:pPr>
      <w:r w:rsidRPr="000F1636">
        <w:rPr>
          <w:b/>
          <w:i/>
          <w:sz w:val="28"/>
          <w:szCs w:val="28"/>
          <w:lang w:val="en-US"/>
        </w:rPr>
        <w:t>Key words</w:t>
      </w:r>
      <w:r w:rsidRPr="000F1636">
        <w:rPr>
          <w:i/>
          <w:sz w:val="28"/>
          <w:szCs w:val="28"/>
          <w:lang w:val="en-US"/>
        </w:rPr>
        <w:t>: peptic ulcer, ulcer perforation, circadian pH-</w:t>
      </w:r>
      <w:proofErr w:type="spellStart"/>
      <w:r w:rsidRPr="000F1636">
        <w:rPr>
          <w:i/>
          <w:sz w:val="28"/>
          <w:szCs w:val="28"/>
          <w:lang w:val="en-US"/>
        </w:rPr>
        <w:t>metry</w:t>
      </w:r>
      <w:proofErr w:type="spellEnd"/>
      <w:r w:rsidRPr="000F1636">
        <w:rPr>
          <w:i/>
          <w:sz w:val="28"/>
          <w:szCs w:val="28"/>
          <w:lang w:val="en-US"/>
        </w:rPr>
        <w:t>.</w:t>
      </w:r>
    </w:p>
    <w:p w:rsidR="00EC3815" w:rsidRPr="000F1636" w:rsidRDefault="00EC3815" w:rsidP="000F1636">
      <w:pPr>
        <w:ind w:firstLine="709"/>
        <w:jc w:val="both"/>
        <w:rPr>
          <w:i/>
          <w:sz w:val="28"/>
          <w:szCs w:val="28"/>
          <w:lang w:val="en-US"/>
        </w:rPr>
      </w:pP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Несмотря на значительные успехи современной медицины в </w:t>
      </w:r>
      <w:proofErr w:type="gramStart"/>
      <w:r w:rsidRPr="000F1636">
        <w:rPr>
          <w:sz w:val="28"/>
          <w:szCs w:val="28"/>
        </w:rPr>
        <w:t>лечении</w:t>
      </w:r>
      <w:proofErr w:type="gram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н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>осложненной</w:t>
      </w:r>
      <w:proofErr w:type="spellEnd"/>
      <w:r w:rsidRPr="000F1636">
        <w:rPr>
          <w:sz w:val="28"/>
          <w:szCs w:val="28"/>
        </w:rPr>
        <w:t xml:space="preserve"> язвенной болезни</w:t>
      </w:r>
      <w:r w:rsidR="006F2F85" w:rsidRPr="000F1636">
        <w:rPr>
          <w:sz w:val="28"/>
          <w:szCs w:val="28"/>
        </w:rPr>
        <w:t xml:space="preserve"> двенадцатиперстной кишки (ЯБДК)</w:t>
      </w:r>
      <w:r w:rsidRPr="000F1636">
        <w:rPr>
          <w:sz w:val="28"/>
          <w:szCs w:val="28"/>
        </w:rPr>
        <w:t>, в насто</w:t>
      </w:r>
      <w:r w:rsidRPr="000F1636">
        <w:rPr>
          <w:sz w:val="28"/>
          <w:szCs w:val="28"/>
        </w:rPr>
        <w:t>я</w:t>
      </w:r>
      <w:r w:rsidRPr="000F1636">
        <w:rPr>
          <w:sz w:val="28"/>
          <w:szCs w:val="28"/>
        </w:rPr>
        <w:t xml:space="preserve">щий момент частота такого грозного осложнения как перфорация язвы не имеет тенденции к снижению и </w:t>
      </w:r>
      <w:r w:rsidR="006F2F85" w:rsidRPr="000F1636">
        <w:rPr>
          <w:sz w:val="28"/>
          <w:szCs w:val="28"/>
        </w:rPr>
        <w:t>развивается у</w:t>
      </w:r>
      <w:r w:rsidRPr="000F1636">
        <w:rPr>
          <w:sz w:val="28"/>
          <w:szCs w:val="28"/>
        </w:rPr>
        <w:t xml:space="preserve"> </w:t>
      </w:r>
      <w:r w:rsidR="006F2F85" w:rsidRPr="000F1636">
        <w:rPr>
          <w:sz w:val="28"/>
          <w:szCs w:val="28"/>
        </w:rPr>
        <w:t>5</w:t>
      </w:r>
      <w:r w:rsidR="0023356D" w:rsidRPr="000F1636">
        <w:rPr>
          <w:sz w:val="28"/>
          <w:szCs w:val="28"/>
        </w:rPr>
        <w:t>–</w:t>
      </w:r>
      <w:r w:rsidR="006F2F85" w:rsidRPr="000F1636">
        <w:rPr>
          <w:sz w:val="28"/>
          <w:szCs w:val="28"/>
        </w:rPr>
        <w:t>8</w:t>
      </w:r>
      <w:r w:rsidRPr="000F1636">
        <w:rPr>
          <w:sz w:val="28"/>
          <w:szCs w:val="28"/>
        </w:rPr>
        <w:t xml:space="preserve">% </w:t>
      </w:r>
      <w:r w:rsidR="00E86439" w:rsidRPr="000F1636">
        <w:rPr>
          <w:sz w:val="28"/>
          <w:szCs w:val="28"/>
        </w:rPr>
        <w:t>больных</w:t>
      </w:r>
      <w:r w:rsidRPr="000F1636">
        <w:rPr>
          <w:sz w:val="28"/>
          <w:szCs w:val="28"/>
        </w:rPr>
        <w:t xml:space="preserve">. Известно, что больные ЯБДК с перфорацией язвы в </w:t>
      </w:r>
      <w:proofErr w:type="gramStart"/>
      <w:r w:rsidRPr="000F1636">
        <w:rPr>
          <w:sz w:val="28"/>
          <w:szCs w:val="28"/>
        </w:rPr>
        <w:t>анамнезе</w:t>
      </w:r>
      <w:proofErr w:type="gramEnd"/>
      <w:r w:rsidRPr="000F1636">
        <w:rPr>
          <w:sz w:val="28"/>
          <w:szCs w:val="28"/>
        </w:rPr>
        <w:t xml:space="preserve"> более торпидны к стандартной </w:t>
      </w:r>
      <w:proofErr w:type="spellStart"/>
      <w:r w:rsidRPr="000F1636">
        <w:rPr>
          <w:sz w:val="28"/>
          <w:szCs w:val="28"/>
        </w:rPr>
        <w:t>против</w:t>
      </w:r>
      <w:r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>язвенной</w:t>
      </w:r>
      <w:proofErr w:type="spellEnd"/>
      <w:r w:rsidRPr="000F1636">
        <w:rPr>
          <w:sz w:val="28"/>
          <w:szCs w:val="28"/>
        </w:rPr>
        <w:t xml:space="preserve"> терапии. Однако, в </w:t>
      </w:r>
      <w:proofErr w:type="gramStart"/>
      <w:r w:rsidRPr="000F1636">
        <w:rPr>
          <w:sz w:val="28"/>
          <w:szCs w:val="28"/>
        </w:rPr>
        <w:t>большинстве</w:t>
      </w:r>
      <w:proofErr w:type="gramEnd"/>
      <w:r w:rsidRPr="000F1636">
        <w:rPr>
          <w:sz w:val="28"/>
          <w:szCs w:val="28"/>
        </w:rPr>
        <w:t xml:space="preserve"> случаев</w:t>
      </w:r>
      <w:r w:rsidR="00E21910" w:rsidRPr="000F1636">
        <w:rPr>
          <w:sz w:val="28"/>
          <w:szCs w:val="28"/>
        </w:rPr>
        <w:t>,</w:t>
      </w:r>
      <w:r w:rsidRPr="000F1636">
        <w:rPr>
          <w:sz w:val="28"/>
          <w:szCs w:val="28"/>
        </w:rPr>
        <w:t xml:space="preserve"> </w:t>
      </w:r>
      <w:r w:rsidR="003736E1" w:rsidRPr="000F1636">
        <w:rPr>
          <w:sz w:val="28"/>
          <w:szCs w:val="28"/>
        </w:rPr>
        <w:t xml:space="preserve">тактика ведения </w:t>
      </w:r>
      <w:r w:rsidRPr="000F1636">
        <w:rPr>
          <w:sz w:val="28"/>
          <w:szCs w:val="28"/>
        </w:rPr>
        <w:t>больны</w:t>
      </w:r>
      <w:r w:rsidR="003736E1" w:rsidRPr="000F1636">
        <w:rPr>
          <w:sz w:val="28"/>
          <w:szCs w:val="28"/>
        </w:rPr>
        <w:t>х</w:t>
      </w:r>
      <w:r w:rsidRPr="000F1636">
        <w:rPr>
          <w:sz w:val="28"/>
          <w:szCs w:val="28"/>
        </w:rPr>
        <w:t xml:space="preserve"> ЯБДК, перенесши</w:t>
      </w:r>
      <w:r w:rsidR="003736E1" w:rsidRPr="000F1636">
        <w:rPr>
          <w:sz w:val="28"/>
          <w:szCs w:val="28"/>
        </w:rPr>
        <w:t>х</w:t>
      </w:r>
      <w:r w:rsidRPr="000F1636">
        <w:rPr>
          <w:sz w:val="28"/>
          <w:szCs w:val="28"/>
        </w:rPr>
        <w:t xml:space="preserve"> в анамнезе перфорацию язвы, не отличается от таковой при лечении пациентов с </w:t>
      </w:r>
      <w:proofErr w:type="spellStart"/>
      <w:r w:rsidRPr="000F1636">
        <w:rPr>
          <w:sz w:val="28"/>
          <w:szCs w:val="28"/>
        </w:rPr>
        <w:t>неосложненными</w:t>
      </w:r>
      <w:proofErr w:type="spellEnd"/>
      <w:r w:rsidRPr="000F1636">
        <w:rPr>
          <w:sz w:val="28"/>
          <w:szCs w:val="28"/>
        </w:rPr>
        <w:t xml:space="preserve"> формами ЯБДК.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В связи с этим, </w:t>
      </w:r>
      <w:r w:rsidRPr="000F1636">
        <w:rPr>
          <w:b/>
          <w:sz w:val="28"/>
          <w:szCs w:val="28"/>
        </w:rPr>
        <w:t>целью</w:t>
      </w:r>
      <w:r w:rsidRPr="000F1636">
        <w:rPr>
          <w:sz w:val="28"/>
          <w:szCs w:val="28"/>
        </w:rPr>
        <w:t xml:space="preserve"> исследования явилось сопоставление </w:t>
      </w:r>
      <w:r w:rsidR="006F2F85" w:rsidRPr="000F1636">
        <w:rPr>
          <w:sz w:val="28"/>
          <w:szCs w:val="28"/>
        </w:rPr>
        <w:t>особенностей кислотообразования и ощелачивания в желудке</w:t>
      </w:r>
      <w:r w:rsidRPr="000F1636">
        <w:rPr>
          <w:sz w:val="28"/>
          <w:szCs w:val="28"/>
        </w:rPr>
        <w:t>, а также результатов стандар</w:t>
      </w:r>
      <w:r w:rsidRPr="000F1636">
        <w:rPr>
          <w:sz w:val="28"/>
          <w:szCs w:val="28"/>
        </w:rPr>
        <w:t>т</w:t>
      </w:r>
      <w:r w:rsidRPr="000F1636">
        <w:rPr>
          <w:sz w:val="28"/>
          <w:szCs w:val="28"/>
        </w:rPr>
        <w:t xml:space="preserve">ной </w:t>
      </w:r>
      <w:proofErr w:type="spellStart"/>
      <w:r w:rsidR="006F2F85" w:rsidRPr="000F1636">
        <w:rPr>
          <w:sz w:val="28"/>
          <w:szCs w:val="28"/>
        </w:rPr>
        <w:t>антисекреторной</w:t>
      </w:r>
      <w:proofErr w:type="spellEnd"/>
      <w:r w:rsidR="006F2F85" w:rsidRPr="000F1636">
        <w:rPr>
          <w:sz w:val="28"/>
          <w:szCs w:val="28"/>
        </w:rPr>
        <w:t xml:space="preserve"> терапии</w:t>
      </w:r>
      <w:r w:rsidRPr="000F1636">
        <w:rPr>
          <w:sz w:val="28"/>
          <w:szCs w:val="28"/>
        </w:rPr>
        <w:t xml:space="preserve"> у больных ЯБДК, перенесших перфорацию язвы в анамнезе, </w:t>
      </w:r>
      <w:r w:rsidR="006F2F85" w:rsidRPr="000F1636">
        <w:rPr>
          <w:sz w:val="28"/>
          <w:szCs w:val="28"/>
        </w:rPr>
        <w:t xml:space="preserve">в сравнении с </w:t>
      </w:r>
      <w:proofErr w:type="spellStart"/>
      <w:r w:rsidR="006F2F85" w:rsidRPr="000F1636">
        <w:rPr>
          <w:sz w:val="28"/>
          <w:szCs w:val="28"/>
        </w:rPr>
        <w:t>неосложненным</w:t>
      </w:r>
      <w:proofErr w:type="spellEnd"/>
      <w:r w:rsidR="006F2F85" w:rsidRPr="000F1636">
        <w:rPr>
          <w:sz w:val="28"/>
          <w:szCs w:val="28"/>
        </w:rPr>
        <w:t xml:space="preserve"> течением </w:t>
      </w:r>
      <w:r w:rsidR="00E21910" w:rsidRPr="000F1636">
        <w:rPr>
          <w:sz w:val="28"/>
          <w:szCs w:val="28"/>
        </w:rPr>
        <w:t>заболевания</w:t>
      </w:r>
      <w:r w:rsidRPr="000F1636">
        <w:rPr>
          <w:sz w:val="28"/>
          <w:szCs w:val="28"/>
        </w:rPr>
        <w:t>.</w:t>
      </w:r>
    </w:p>
    <w:p w:rsidR="001F5B2C" w:rsidRPr="000F1636" w:rsidRDefault="001F5B2C" w:rsidP="000F1636">
      <w:pPr>
        <w:ind w:firstLine="709"/>
        <w:jc w:val="both"/>
        <w:rPr>
          <w:sz w:val="28"/>
          <w:szCs w:val="28"/>
        </w:rPr>
      </w:pP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Материал и методы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Обследовано 113 больных ЯБДК в фазе рецидива</w:t>
      </w:r>
      <w:r w:rsidR="008D3DE7" w:rsidRPr="000F1636">
        <w:rPr>
          <w:sz w:val="28"/>
          <w:szCs w:val="28"/>
        </w:rPr>
        <w:t xml:space="preserve">, подтвержденной </w:t>
      </w:r>
      <w:proofErr w:type="spellStart"/>
      <w:r w:rsidR="008D3DE7" w:rsidRPr="000F1636">
        <w:rPr>
          <w:sz w:val="28"/>
          <w:szCs w:val="28"/>
        </w:rPr>
        <w:t>энд</w:t>
      </w:r>
      <w:r w:rsidR="008D3DE7" w:rsidRPr="000F1636">
        <w:rPr>
          <w:sz w:val="28"/>
          <w:szCs w:val="28"/>
        </w:rPr>
        <w:t>о</w:t>
      </w:r>
      <w:r w:rsidR="008D3DE7" w:rsidRPr="000F1636">
        <w:rPr>
          <w:sz w:val="28"/>
          <w:szCs w:val="28"/>
        </w:rPr>
        <w:t>скопически</w:t>
      </w:r>
      <w:proofErr w:type="spellEnd"/>
      <w:r w:rsidRPr="000F1636">
        <w:rPr>
          <w:sz w:val="28"/>
          <w:szCs w:val="28"/>
        </w:rPr>
        <w:t xml:space="preserve"> (мужчин – 104, женщин – 9; средний возраст 30,5</w:t>
      </w:r>
      <w:r w:rsidR="001441B6" w:rsidRPr="000F1636">
        <w:rPr>
          <w:sz w:val="28"/>
          <w:szCs w:val="28"/>
        </w:rPr>
        <w:t xml:space="preserve"> ± </w:t>
      </w:r>
      <w:r w:rsidRPr="000F1636">
        <w:rPr>
          <w:sz w:val="28"/>
          <w:szCs w:val="28"/>
        </w:rPr>
        <w:t xml:space="preserve">1,6 года). </w:t>
      </w:r>
      <w:r w:rsidR="002A31D9" w:rsidRPr="000F1636">
        <w:rPr>
          <w:sz w:val="28"/>
          <w:szCs w:val="28"/>
        </w:rPr>
        <w:t>П</w:t>
      </w:r>
      <w:r w:rsidRPr="000F1636">
        <w:rPr>
          <w:sz w:val="28"/>
          <w:szCs w:val="28"/>
        </w:rPr>
        <w:t>ац</w:t>
      </w:r>
      <w:r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 xml:space="preserve">енты были разделены на две группы. В 1-ю </w:t>
      </w:r>
      <w:r w:rsidR="00E21910" w:rsidRPr="000F1636">
        <w:rPr>
          <w:sz w:val="28"/>
          <w:szCs w:val="28"/>
        </w:rPr>
        <w:t>включен</w:t>
      </w:r>
      <w:r w:rsidRPr="000F1636">
        <w:rPr>
          <w:sz w:val="28"/>
          <w:szCs w:val="28"/>
        </w:rPr>
        <w:t xml:space="preserve"> </w:t>
      </w:r>
      <w:r w:rsidR="005E5A8D" w:rsidRPr="000F1636">
        <w:rPr>
          <w:sz w:val="28"/>
          <w:szCs w:val="28"/>
        </w:rPr>
        <w:t xml:space="preserve">61 пациент с </w:t>
      </w:r>
      <w:proofErr w:type="spellStart"/>
      <w:r w:rsidR="005E5A8D" w:rsidRPr="000F1636">
        <w:rPr>
          <w:sz w:val="28"/>
          <w:szCs w:val="28"/>
        </w:rPr>
        <w:t>неосложне</w:t>
      </w:r>
      <w:r w:rsidR="005E5A8D" w:rsidRPr="000F1636">
        <w:rPr>
          <w:sz w:val="28"/>
          <w:szCs w:val="28"/>
        </w:rPr>
        <w:t>н</w:t>
      </w:r>
      <w:r w:rsidR="005E5A8D" w:rsidRPr="000F1636">
        <w:rPr>
          <w:sz w:val="28"/>
          <w:szCs w:val="28"/>
        </w:rPr>
        <w:t>ным</w:t>
      </w:r>
      <w:proofErr w:type="spellEnd"/>
      <w:r w:rsidR="005E5A8D" w:rsidRPr="000F1636">
        <w:rPr>
          <w:sz w:val="28"/>
          <w:szCs w:val="28"/>
        </w:rPr>
        <w:t xml:space="preserve"> течением ЯБДК (средний возраст 34</w:t>
      </w:r>
      <w:r w:rsidR="001441B6" w:rsidRPr="000F1636">
        <w:rPr>
          <w:sz w:val="28"/>
          <w:szCs w:val="28"/>
        </w:rPr>
        <w:t xml:space="preserve"> ± </w:t>
      </w:r>
      <w:r w:rsidR="005E5A8D" w:rsidRPr="000F1636">
        <w:rPr>
          <w:sz w:val="28"/>
          <w:szCs w:val="28"/>
        </w:rPr>
        <w:t>1,9 года)</w:t>
      </w:r>
      <w:r w:rsidR="00E21910" w:rsidRPr="000F1636">
        <w:rPr>
          <w:sz w:val="28"/>
          <w:szCs w:val="28"/>
        </w:rPr>
        <w:t>; критерии включения – я</w:t>
      </w:r>
      <w:r w:rsidR="00E21910" w:rsidRPr="000F1636">
        <w:rPr>
          <w:sz w:val="28"/>
          <w:szCs w:val="28"/>
        </w:rPr>
        <w:t>з</w:t>
      </w:r>
      <w:r w:rsidR="00E21910" w:rsidRPr="000F1636">
        <w:rPr>
          <w:sz w:val="28"/>
          <w:szCs w:val="28"/>
        </w:rPr>
        <w:t>венный анамнез не менее 1 года, отсутствие любых осложнений ЯБДК</w:t>
      </w:r>
      <w:r w:rsidR="005E5A8D" w:rsidRPr="000F1636">
        <w:rPr>
          <w:sz w:val="28"/>
          <w:szCs w:val="28"/>
        </w:rPr>
        <w:t>. Во 2-</w:t>
      </w:r>
      <w:r w:rsidR="00E21910" w:rsidRPr="000F1636">
        <w:rPr>
          <w:sz w:val="28"/>
          <w:szCs w:val="28"/>
        </w:rPr>
        <w:t>ю</w:t>
      </w:r>
      <w:r w:rsidR="005E5A8D" w:rsidRPr="000F1636">
        <w:rPr>
          <w:sz w:val="28"/>
          <w:szCs w:val="28"/>
        </w:rPr>
        <w:t xml:space="preserve"> групп</w:t>
      </w:r>
      <w:r w:rsidR="00E21910" w:rsidRPr="000F1636">
        <w:rPr>
          <w:sz w:val="28"/>
          <w:szCs w:val="28"/>
        </w:rPr>
        <w:t>у вошли</w:t>
      </w:r>
      <w:r w:rsidR="005E5A8D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52 больных с перфораци</w:t>
      </w:r>
      <w:r w:rsidR="00013913" w:rsidRPr="000F1636">
        <w:rPr>
          <w:sz w:val="28"/>
          <w:szCs w:val="28"/>
        </w:rPr>
        <w:t>ей</w:t>
      </w:r>
      <w:r w:rsidRPr="000F1636">
        <w:rPr>
          <w:sz w:val="28"/>
          <w:szCs w:val="28"/>
        </w:rPr>
        <w:t xml:space="preserve"> язвы в анамнезе (средний возраст 27</w:t>
      </w:r>
      <w:r w:rsidR="001441B6" w:rsidRPr="000F1636">
        <w:rPr>
          <w:sz w:val="28"/>
          <w:szCs w:val="28"/>
        </w:rPr>
        <w:t xml:space="preserve"> ± </w:t>
      </w:r>
      <w:r w:rsidR="0006549C" w:rsidRPr="000F1636">
        <w:rPr>
          <w:sz w:val="28"/>
          <w:szCs w:val="28"/>
        </w:rPr>
        <w:t>2</w:t>
      </w:r>
      <w:r w:rsidRPr="000F1636">
        <w:rPr>
          <w:sz w:val="28"/>
          <w:szCs w:val="28"/>
        </w:rPr>
        <w:t>,5 года)</w:t>
      </w:r>
      <w:r w:rsidR="00E21910" w:rsidRPr="000F1636">
        <w:rPr>
          <w:sz w:val="28"/>
          <w:szCs w:val="28"/>
        </w:rPr>
        <w:t>; к</w:t>
      </w:r>
      <w:r w:rsidRPr="000F1636">
        <w:rPr>
          <w:sz w:val="28"/>
          <w:szCs w:val="28"/>
        </w:rPr>
        <w:t>ритери</w:t>
      </w:r>
      <w:r w:rsidR="00E86439"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 xml:space="preserve"> включения </w:t>
      </w:r>
      <w:r w:rsidR="00B8494F" w:rsidRPr="000F1636">
        <w:rPr>
          <w:sz w:val="28"/>
          <w:szCs w:val="28"/>
        </w:rPr>
        <w:t>–</w:t>
      </w:r>
      <w:r w:rsidR="00E86439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время, прошедшее с момента перфорации</w:t>
      </w:r>
      <w:r w:rsidR="00E86439" w:rsidRPr="000F1636">
        <w:rPr>
          <w:sz w:val="28"/>
          <w:szCs w:val="28"/>
        </w:rPr>
        <w:t xml:space="preserve"> (</w:t>
      </w:r>
      <w:r w:rsidRPr="000F1636">
        <w:rPr>
          <w:sz w:val="28"/>
          <w:szCs w:val="28"/>
        </w:rPr>
        <w:t>не менее одного года</w:t>
      </w:r>
      <w:r w:rsidR="00E86439" w:rsidRPr="000F1636">
        <w:rPr>
          <w:sz w:val="28"/>
          <w:szCs w:val="28"/>
        </w:rPr>
        <w:t>)</w:t>
      </w:r>
      <w:r w:rsidRPr="000F1636">
        <w:rPr>
          <w:sz w:val="28"/>
          <w:szCs w:val="28"/>
        </w:rPr>
        <w:t>, отсутствие любых оперативных вмешательств</w:t>
      </w:r>
      <w:r w:rsidR="002A31D9" w:rsidRPr="000F1636">
        <w:rPr>
          <w:sz w:val="28"/>
          <w:szCs w:val="28"/>
        </w:rPr>
        <w:t xml:space="preserve"> (</w:t>
      </w:r>
      <w:r w:rsidRPr="000F1636">
        <w:rPr>
          <w:sz w:val="28"/>
          <w:szCs w:val="28"/>
        </w:rPr>
        <w:t xml:space="preserve">кроме </w:t>
      </w:r>
      <w:proofErr w:type="spellStart"/>
      <w:r w:rsidRPr="000F1636">
        <w:rPr>
          <w:sz w:val="28"/>
          <w:szCs w:val="28"/>
        </w:rPr>
        <w:t>уш</w:t>
      </w:r>
      <w:r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>вания</w:t>
      </w:r>
      <w:proofErr w:type="spellEnd"/>
      <w:r w:rsidRPr="000F1636">
        <w:rPr>
          <w:sz w:val="28"/>
          <w:szCs w:val="28"/>
        </w:rPr>
        <w:t xml:space="preserve"> язвы</w:t>
      </w:r>
      <w:r w:rsidR="002A31D9" w:rsidRPr="000F1636">
        <w:rPr>
          <w:sz w:val="28"/>
          <w:szCs w:val="28"/>
        </w:rPr>
        <w:t>)</w:t>
      </w:r>
      <w:r w:rsidRPr="000F1636">
        <w:rPr>
          <w:sz w:val="28"/>
          <w:szCs w:val="28"/>
        </w:rPr>
        <w:t>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Всем больным выполнялось клинико-инструментальное обследование. Проводилась </w:t>
      </w:r>
      <w:proofErr w:type="spellStart"/>
      <w:r w:rsidRPr="000F1636">
        <w:rPr>
          <w:sz w:val="28"/>
          <w:szCs w:val="28"/>
        </w:rPr>
        <w:t>эзофагогастродуоденоскопия</w:t>
      </w:r>
      <w:proofErr w:type="spellEnd"/>
      <w:r w:rsidRPr="000F1636">
        <w:rPr>
          <w:sz w:val="28"/>
          <w:szCs w:val="28"/>
        </w:rPr>
        <w:t xml:space="preserve"> (ЭГДС)</w:t>
      </w:r>
      <w:r w:rsidR="0023356D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 xml:space="preserve">с </w:t>
      </w:r>
      <w:r w:rsidR="000E1BB8" w:rsidRPr="000F1636">
        <w:rPr>
          <w:sz w:val="28"/>
          <w:szCs w:val="28"/>
        </w:rPr>
        <w:t>гист</w:t>
      </w:r>
      <w:r w:rsidRPr="000F1636">
        <w:rPr>
          <w:sz w:val="28"/>
          <w:szCs w:val="28"/>
        </w:rPr>
        <w:t>ологическим исслед</w:t>
      </w:r>
      <w:r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 xml:space="preserve">ванием на </w:t>
      </w:r>
      <w:proofErr w:type="spellStart"/>
      <w:r w:rsidRPr="000F1636">
        <w:rPr>
          <w:i/>
          <w:sz w:val="28"/>
          <w:szCs w:val="28"/>
        </w:rPr>
        <w:t>Helicobacter</w:t>
      </w:r>
      <w:proofErr w:type="spellEnd"/>
      <w:r w:rsidRPr="000F1636">
        <w:rPr>
          <w:i/>
          <w:sz w:val="28"/>
          <w:szCs w:val="28"/>
        </w:rPr>
        <w:t xml:space="preserve"> </w:t>
      </w:r>
      <w:proofErr w:type="spellStart"/>
      <w:r w:rsidRPr="000F1636">
        <w:rPr>
          <w:i/>
          <w:sz w:val="28"/>
          <w:szCs w:val="28"/>
        </w:rPr>
        <w:t>pylori</w:t>
      </w:r>
      <w:proofErr w:type="spellEnd"/>
      <w:r w:rsidRPr="000F1636">
        <w:rPr>
          <w:sz w:val="28"/>
          <w:szCs w:val="28"/>
        </w:rPr>
        <w:t xml:space="preserve"> (НР), дыхательный </w:t>
      </w:r>
      <w:proofErr w:type="spellStart"/>
      <w:r w:rsidRPr="000F1636">
        <w:rPr>
          <w:sz w:val="28"/>
          <w:szCs w:val="28"/>
        </w:rPr>
        <w:t>уреазный</w:t>
      </w:r>
      <w:proofErr w:type="spellEnd"/>
      <w:r w:rsidRPr="000F1636">
        <w:rPr>
          <w:sz w:val="28"/>
          <w:szCs w:val="28"/>
        </w:rPr>
        <w:t xml:space="preserve"> тест. Выполнялось суточное </w:t>
      </w:r>
      <w:proofErr w:type="spellStart"/>
      <w:r w:rsidRPr="000F1636">
        <w:rPr>
          <w:sz w:val="28"/>
          <w:szCs w:val="28"/>
        </w:rPr>
        <w:t>интрагастральное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мониторирование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рН</w:t>
      </w:r>
      <w:proofErr w:type="spellEnd"/>
      <w:r w:rsidRPr="000F1636">
        <w:rPr>
          <w:sz w:val="28"/>
          <w:szCs w:val="28"/>
        </w:rPr>
        <w:t xml:space="preserve"> с использованием аппарата «</w:t>
      </w:r>
      <w:proofErr w:type="spellStart"/>
      <w:r w:rsidRPr="000F1636">
        <w:rPr>
          <w:sz w:val="28"/>
          <w:szCs w:val="28"/>
        </w:rPr>
        <w:t>Гастроскан-24</w:t>
      </w:r>
      <w:proofErr w:type="spellEnd"/>
      <w:r w:rsidRPr="000F1636">
        <w:rPr>
          <w:sz w:val="28"/>
          <w:szCs w:val="28"/>
        </w:rPr>
        <w:t xml:space="preserve">» (НПП «ИСТОК-Система», Московская область, </w:t>
      </w:r>
      <w:proofErr w:type="gramStart"/>
      <w:r w:rsidRPr="000F1636">
        <w:rPr>
          <w:sz w:val="28"/>
          <w:szCs w:val="28"/>
        </w:rPr>
        <w:t>г</w:t>
      </w:r>
      <w:proofErr w:type="gramEnd"/>
      <w:r w:rsidRPr="000F1636">
        <w:rPr>
          <w:sz w:val="28"/>
          <w:szCs w:val="28"/>
        </w:rPr>
        <w:t xml:space="preserve">. </w:t>
      </w:r>
      <w:proofErr w:type="spellStart"/>
      <w:r w:rsidRPr="000F1636">
        <w:rPr>
          <w:sz w:val="28"/>
          <w:szCs w:val="28"/>
        </w:rPr>
        <w:t>Фрязино</w:t>
      </w:r>
      <w:proofErr w:type="spellEnd"/>
      <w:r w:rsidRPr="000F1636">
        <w:rPr>
          <w:sz w:val="28"/>
          <w:szCs w:val="28"/>
        </w:rPr>
        <w:t>). Последнее исследование выполнялось каждому больному дважды: до назнач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>ния лечения и на 5</w:t>
      </w:r>
      <w:r w:rsidR="006B3739" w:rsidRPr="000F1636">
        <w:rPr>
          <w:sz w:val="28"/>
          <w:szCs w:val="28"/>
        </w:rPr>
        <w:t>-й</w:t>
      </w:r>
      <w:r w:rsidR="000F1636">
        <w:rPr>
          <w:sz w:val="28"/>
          <w:szCs w:val="28"/>
        </w:rPr>
        <w:t xml:space="preserve"> день стандартной терапии</w:t>
      </w:r>
      <w:r w:rsidRPr="000F1636">
        <w:rPr>
          <w:sz w:val="28"/>
          <w:szCs w:val="28"/>
        </w:rPr>
        <w:t xml:space="preserve">. </w:t>
      </w:r>
      <w:r w:rsidR="006B3739" w:rsidRPr="000F1636">
        <w:rPr>
          <w:sz w:val="28"/>
          <w:szCs w:val="28"/>
        </w:rPr>
        <w:t>Д</w:t>
      </w:r>
      <w:r w:rsidRPr="000F1636">
        <w:rPr>
          <w:sz w:val="28"/>
          <w:szCs w:val="28"/>
        </w:rPr>
        <w:t>о назначения лечения изуч</w:t>
      </w:r>
      <w:r w:rsidRPr="000F1636">
        <w:rPr>
          <w:sz w:val="28"/>
          <w:szCs w:val="28"/>
        </w:rPr>
        <w:t>а</w:t>
      </w:r>
      <w:r w:rsidRPr="000F1636">
        <w:rPr>
          <w:sz w:val="28"/>
          <w:szCs w:val="28"/>
        </w:rPr>
        <w:t>лись средни</w:t>
      </w:r>
      <w:r w:rsidR="006B3739"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рН</w:t>
      </w:r>
      <w:proofErr w:type="spellEnd"/>
      <w:r w:rsidRPr="000F1636">
        <w:rPr>
          <w:sz w:val="28"/>
          <w:szCs w:val="28"/>
        </w:rPr>
        <w:t xml:space="preserve"> тела и </w:t>
      </w:r>
      <w:proofErr w:type="spellStart"/>
      <w:r w:rsidRPr="000F1636">
        <w:rPr>
          <w:sz w:val="28"/>
          <w:szCs w:val="28"/>
        </w:rPr>
        <w:t>антрального</w:t>
      </w:r>
      <w:proofErr w:type="spellEnd"/>
      <w:r w:rsidRPr="000F1636">
        <w:rPr>
          <w:sz w:val="28"/>
          <w:szCs w:val="28"/>
        </w:rPr>
        <w:t xml:space="preserve"> отдела желудка, длительность </w:t>
      </w:r>
      <w:proofErr w:type="spellStart"/>
      <w:r w:rsidRPr="000F1636">
        <w:rPr>
          <w:sz w:val="28"/>
          <w:szCs w:val="28"/>
        </w:rPr>
        <w:t>гипераци</w:t>
      </w:r>
      <w:r w:rsidRPr="000F1636">
        <w:rPr>
          <w:sz w:val="28"/>
          <w:szCs w:val="28"/>
        </w:rPr>
        <w:t>д</w:t>
      </w:r>
      <w:r w:rsidRPr="000F1636">
        <w:rPr>
          <w:sz w:val="28"/>
          <w:szCs w:val="28"/>
        </w:rPr>
        <w:t>ности</w:t>
      </w:r>
      <w:proofErr w:type="spellEnd"/>
      <w:r w:rsidRPr="000F1636">
        <w:rPr>
          <w:sz w:val="28"/>
          <w:szCs w:val="28"/>
        </w:rPr>
        <w:t xml:space="preserve">, наличие и выраженность </w:t>
      </w:r>
      <w:proofErr w:type="spellStart"/>
      <w:r w:rsidR="00064BEF" w:rsidRPr="000F1636">
        <w:rPr>
          <w:sz w:val="28"/>
          <w:szCs w:val="28"/>
        </w:rPr>
        <w:t>дуоденогастрального</w:t>
      </w:r>
      <w:proofErr w:type="spellEnd"/>
      <w:r w:rsidR="00064BEF" w:rsidRPr="000F1636">
        <w:rPr>
          <w:sz w:val="28"/>
          <w:szCs w:val="28"/>
        </w:rPr>
        <w:t xml:space="preserve"> </w:t>
      </w:r>
      <w:proofErr w:type="spellStart"/>
      <w:r w:rsidR="00064BEF" w:rsidRPr="000F1636">
        <w:rPr>
          <w:sz w:val="28"/>
          <w:szCs w:val="28"/>
        </w:rPr>
        <w:t>рефлюкса</w:t>
      </w:r>
      <w:proofErr w:type="spellEnd"/>
      <w:r w:rsidR="00064BEF" w:rsidRPr="000F1636">
        <w:rPr>
          <w:sz w:val="28"/>
          <w:szCs w:val="28"/>
        </w:rPr>
        <w:t xml:space="preserve"> (</w:t>
      </w:r>
      <w:r w:rsidRPr="000F1636">
        <w:rPr>
          <w:sz w:val="28"/>
          <w:szCs w:val="28"/>
        </w:rPr>
        <w:t>ДГР</w:t>
      </w:r>
      <w:r w:rsidR="00064BEF" w:rsidRPr="000F1636">
        <w:rPr>
          <w:sz w:val="28"/>
          <w:szCs w:val="28"/>
        </w:rPr>
        <w:t>)</w:t>
      </w:r>
      <w:r w:rsidRPr="000F1636">
        <w:rPr>
          <w:sz w:val="28"/>
          <w:szCs w:val="28"/>
        </w:rPr>
        <w:t>. Призн</w:t>
      </w:r>
      <w:r w:rsidRPr="000F1636">
        <w:rPr>
          <w:sz w:val="28"/>
          <w:szCs w:val="28"/>
        </w:rPr>
        <w:t>а</w:t>
      </w:r>
      <w:r w:rsidRPr="000F1636">
        <w:rPr>
          <w:sz w:val="28"/>
          <w:szCs w:val="28"/>
        </w:rPr>
        <w:t xml:space="preserve">ком последнего считалось «зазубренное» ощелачивание с подъемом в </w:t>
      </w:r>
      <w:proofErr w:type="spellStart"/>
      <w:r w:rsidRPr="000F1636">
        <w:rPr>
          <w:sz w:val="28"/>
          <w:szCs w:val="28"/>
        </w:rPr>
        <w:t>антрал</w:t>
      </w:r>
      <w:r w:rsidRPr="000F1636">
        <w:rPr>
          <w:sz w:val="28"/>
          <w:szCs w:val="28"/>
        </w:rPr>
        <w:t>ь</w:t>
      </w:r>
      <w:r w:rsidRPr="000F1636">
        <w:rPr>
          <w:sz w:val="28"/>
          <w:szCs w:val="28"/>
        </w:rPr>
        <w:t>ном</w:t>
      </w:r>
      <w:proofErr w:type="spellEnd"/>
      <w:r w:rsidRPr="000F1636">
        <w:rPr>
          <w:sz w:val="28"/>
          <w:szCs w:val="28"/>
        </w:rPr>
        <w:t xml:space="preserve"> отделе </w:t>
      </w:r>
      <w:proofErr w:type="spellStart"/>
      <w:r w:rsidRPr="000F1636">
        <w:rPr>
          <w:sz w:val="28"/>
          <w:szCs w:val="28"/>
        </w:rPr>
        <w:t>рН</w:t>
      </w:r>
      <w:proofErr w:type="spellEnd"/>
      <w:r w:rsidR="00D7393A" w:rsidRPr="000F1636">
        <w:rPr>
          <w:sz w:val="28"/>
          <w:szCs w:val="28"/>
        </w:rPr>
        <w:t xml:space="preserve"> &gt; </w:t>
      </w:r>
      <w:r w:rsidRPr="000F1636">
        <w:rPr>
          <w:sz w:val="28"/>
          <w:szCs w:val="28"/>
        </w:rPr>
        <w:t>4,0 ед., не связан</w:t>
      </w:r>
      <w:r w:rsidR="000F1636">
        <w:rPr>
          <w:sz w:val="28"/>
          <w:szCs w:val="28"/>
        </w:rPr>
        <w:t>ное с приемом пищи и антацидов</w:t>
      </w:r>
      <w:r w:rsidRPr="000F1636">
        <w:rPr>
          <w:sz w:val="28"/>
          <w:szCs w:val="28"/>
        </w:rPr>
        <w:t xml:space="preserve">. При </w:t>
      </w:r>
      <w:proofErr w:type="spellStart"/>
      <w:r w:rsidRPr="000F1636">
        <w:rPr>
          <w:sz w:val="28"/>
          <w:szCs w:val="28"/>
        </w:rPr>
        <w:t>рН-метрии</w:t>
      </w:r>
      <w:proofErr w:type="spellEnd"/>
      <w:r w:rsidRPr="000F1636">
        <w:rPr>
          <w:sz w:val="28"/>
          <w:szCs w:val="28"/>
        </w:rPr>
        <w:t xml:space="preserve"> на фоне лечения оценивался </w:t>
      </w:r>
      <w:proofErr w:type="gramStart"/>
      <w:r w:rsidRPr="000F1636">
        <w:rPr>
          <w:sz w:val="28"/>
          <w:szCs w:val="28"/>
        </w:rPr>
        <w:t>средний</w:t>
      </w:r>
      <w:proofErr w:type="gram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рН</w:t>
      </w:r>
      <w:proofErr w:type="spellEnd"/>
      <w:r w:rsidRPr="000F1636">
        <w:rPr>
          <w:sz w:val="28"/>
          <w:szCs w:val="28"/>
        </w:rPr>
        <w:t xml:space="preserve">, продолжительность времени с </w:t>
      </w:r>
      <w:proofErr w:type="spellStart"/>
      <w:r w:rsidRPr="000F1636">
        <w:rPr>
          <w:sz w:val="28"/>
          <w:szCs w:val="28"/>
        </w:rPr>
        <w:t>рН</w:t>
      </w:r>
      <w:proofErr w:type="spellEnd"/>
      <w:r w:rsidR="00D7393A" w:rsidRPr="000F1636">
        <w:rPr>
          <w:sz w:val="28"/>
          <w:szCs w:val="28"/>
        </w:rPr>
        <w:t xml:space="preserve"> &gt; </w:t>
      </w:r>
      <w:r w:rsidRPr="000F1636">
        <w:rPr>
          <w:sz w:val="28"/>
          <w:szCs w:val="28"/>
        </w:rPr>
        <w:t>3,0;</w:t>
      </w:r>
      <w:r w:rsidR="00897F9D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 xml:space="preserve">4,0 и 5,0 ед. Критерием достаточной </w:t>
      </w:r>
      <w:proofErr w:type="spellStart"/>
      <w:r w:rsidRPr="000F1636">
        <w:rPr>
          <w:sz w:val="28"/>
          <w:szCs w:val="28"/>
        </w:rPr>
        <w:t>кислотосупрессии</w:t>
      </w:r>
      <w:proofErr w:type="spellEnd"/>
      <w:r w:rsidRPr="000F1636">
        <w:rPr>
          <w:sz w:val="28"/>
          <w:szCs w:val="28"/>
        </w:rPr>
        <w:t xml:space="preserve"> считалось до</w:t>
      </w:r>
      <w:r w:rsidRPr="000F1636">
        <w:rPr>
          <w:sz w:val="28"/>
          <w:szCs w:val="28"/>
        </w:rPr>
        <w:t>с</w:t>
      </w:r>
      <w:r w:rsidRPr="000F1636">
        <w:rPr>
          <w:sz w:val="28"/>
          <w:szCs w:val="28"/>
        </w:rPr>
        <w:t xml:space="preserve">тижение </w:t>
      </w:r>
      <w:proofErr w:type="spellStart"/>
      <w:r w:rsidRPr="000F1636">
        <w:rPr>
          <w:sz w:val="28"/>
          <w:szCs w:val="28"/>
        </w:rPr>
        <w:t>рН</w:t>
      </w:r>
      <w:proofErr w:type="spellEnd"/>
      <w:r w:rsidR="00D7393A" w:rsidRPr="000F1636">
        <w:rPr>
          <w:sz w:val="28"/>
          <w:szCs w:val="28"/>
        </w:rPr>
        <w:t xml:space="preserve"> &gt; </w:t>
      </w:r>
      <w:r w:rsidRPr="000F1636">
        <w:rPr>
          <w:sz w:val="28"/>
          <w:szCs w:val="28"/>
        </w:rPr>
        <w:t>3,0 ед. в теч</w:t>
      </w:r>
      <w:r w:rsidR="000F1636">
        <w:rPr>
          <w:sz w:val="28"/>
          <w:szCs w:val="28"/>
        </w:rPr>
        <w:t>ение не менее 75% времени суток</w:t>
      </w:r>
      <w:r w:rsidRPr="000F1636">
        <w:rPr>
          <w:sz w:val="28"/>
          <w:szCs w:val="28"/>
        </w:rPr>
        <w:t>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Все больные были </w:t>
      </w:r>
      <w:proofErr w:type="spellStart"/>
      <w:r w:rsidRPr="000F1636">
        <w:rPr>
          <w:sz w:val="28"/>
          <w:szCs w:val="28"/>
        </w:rPr>
        <w:t>НР-положительными</w:t>
      </w:r>
      <w:proofErr w:type="spellEnd"/>
      <w:r w:rsidRPr="000F1636">
        <w:rPr>
          <w:sz w:val="28"/>
          <w:szCs w:val="28"/>
        </w:rPr>
        <w:t xml:space="preserve"> и получали в </w:t>
      </w:r>
      <w:proofErr w:type="gramStart"/>
      <w:r w:rsidRPr="000F1636">
        <w:rPr>
          <w:sz w:val="28"/>
          <w:szCs w:val="28"/>
        </w:rPr>
        <w:t>стационаре</w:t>
      </w:r>
      <w:proofErr w:type="gramEnd"/>
      <w:r w:rsidRPr="000F1636">
        <w:rPr>
          <w:sz w:val="28"/>
          <w:szCs w:val="28"/>
        </w:rPr>
        <w:t xml:space="preserve"> ста</w:t>
      </w:r>
      <w:r w:rsidRPr="000F1636">
        <w:rPr>
          <w:sz w:val="28"/>
          <w:szCs w:val="28"/>
        </w:rPr>
        <w:t>н</w:t>
      </w:r>
      <w:r w:rsidRPr="000F1636">
        <w:rPr>
          <w:sz w:val="28"/>
          <w:szCs w:val="28"/>
        </w:rPr>
        <w:t xml:space="preserve">дартную </w:t>
      </w:r>
      <w:proofErr w:type="spellStart"/>
      <w:r w:rsidRPr="000F1636">
        <w:rPr>
          <w:sz w:val="28"/>
          <w:szCs w:val="28"/>
        </w:rPr>
        <w:t>противоязвенную</w:t>
      </w:r>
      <w:proofErr w:type="spellEnd"/>
      <w:r w:rsidRPr="000F1636">
        <w:rPr>
          <w:sz w:val="28"/>
          <w:szCs w:val="28"/>
        </w:rPr>
        <w:t xml:space="preserve"> терапию: </w:t>
      </w:r>
      <w:proofErr w:type="spellStart"/>
      <w:r w:rsidRPr="000F1636">
        <w:rPr>
          <w:sz w:val="28"/>
          <w:szCs w:val="28"/>
        </w:rPr>
        <w:t>антисекреторную</w:t>
      </w:r>
      <w:proofErr w:type="spellEnd"/>
      <w:r w:rsidRPr="000F1636">
        <w:rPr>
          <w:sz w:val="28"/>
          <w:szCs w:val="28"/>
        </w:rPr>
        <w:t xml:space="preserve"> терапию (</w:t>
      </w:r>
      <w:proofErr w:type="spellStart"/>
      <w:r w:rsidRPr="000F1636">
        <w:rPr>
          <w:sz w:val="28"/>
          <w:szCs w:val="28"/>
        </w:rPr>
        <w:t>омепразол</w:t>
      </w:r>
      <w:proofErr w:type="spellEnd"/>
      <w:r w:rsidRPr="000F1636">
        <w:rPr>
          <w:sz w:val="28"/>
          <w:szCs w:val="28"/>
        </w:rPr>
        <w:t xml:space="preserve"> 40 мг в сутки) до рубцевания язвы и антибиотики (</w:t>
      </w:r>
      <w:proofErr w:type="spellStart"/>
      <w:r w:rsidRPr="000F1636">
        <w:rPr>
          <w:sz w:val="28"/>
          <w:szCs w:val="28"/>
        </w:rPr>
        <w:t>флемоксин</w:t>
      </w:r>
      <w:proofErr w:type="spellEnd"/>
      <w:r w:rsidRPr="000F1636">
        <w:rPr>
          <w:sz w:val="28"/>
          <w:szCs w:val="28"/>
        </w:rPr>
        <w:t xml:space="preserve"> 2000 мг и </w:t>
      </w:r>
      <w:proofErr w:type="spellStart"/>
      <w:r w:rsidRPr="000F1636">
        <w:rPr>
          <w:sz w:val="28"/>
          <w:szCs w:val="28"/>
        </w:rPr>
        <w:t>кларитр</w:t>
      </w:r>
      <w:r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>мицин</w:t>
      </w:r>
      <w:proofErr w:type="spellEnd"/>
      <w:r w:rsidRPr="000F1636">
        <w:rPr>
          <w:sz w:val="28"/>
          <w:szCs w:val="28"/>
        </w:rPr>
        <w:t xml:space="preserve"> 100</w:t>
      </w:r>
      <w:r w:rsidR="000F1636">
        <w:rPr>
          <w:sz w:val="28"/>
          <w:szCs w:val="28"/>
        </w:rPr>
        <w:t>0 мг в сутки) в течение 10 дней</w:t>
      </w:r>
      <w:r w:rsidRPr="000F1636">
        <w:rPr>
          <w:sz w:val="28"/>
          <w:szCs w:val="28"/>
        </w:rPr>
        <w:t>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На 14 день лечения выполнялась ЭГДС с оценкой динамики рубцевания язвенного дефекта. В случае сохранения язвы повторные эндоскопические и</w:t>
      </w:r>
      <w:r w:rsidRPr="000F1636">
        <w:rPr>
          <w:sz w:val="28"/>
          <w:szCs w:val="28"/>
        </w:rPr>
        <w:t>с</w:t>
      </w:r>
      <w:r w:rsidRPr="000F1636">
        <w:rPr>
          <w:sz w:val="28"/>
          <w:szCs w:val="28"/>
        </w:rPr>
        <w:t>следования выполнялись каждые 7 дней до полного рубцевания язвенного д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>фекта.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Полученные цифровые данные подверглись статистической обработке при помощи компьютерных программ </w:t>
      </w:r>
      <w:proofErr w:type="spellStart"/>
      <w:r w:rsidRPr="000F1636">
        <w:rPr>
          <w:sz w:val="28"/>
          <w:szCs w:val="28"/>
        </w:rPr>
        <w:t>Statistica</w:t>
      </w:r>
      <w:proofErr w:type="spellEnd"/>
      <w:r w:rsidRPr="000F1636">
        <w:rPr>
          <w:sz w:val="28"/>
          <w:szCs w:val="28"/>
        </w:rPr>
        <w:t xml:space="preserve"> 5.0 </w:t>
      </w:r>
      <w:proofErr w:type="spellStart"/>
      <w:r w:rsidRPr="000F1636">
        <w:rPr>
          <w:sz w:val="28"/>
          <w:szCs w:val="28"/>
        </w:rPr>
        <w:t>for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Windows</w:t>
      </w:r>
      <w:proofErr w:type="spellEnd"/>
      <w:r w:rsidRPr="000F1636">
        <w:rPr>
          <w:sz w:val="28"/>
          <w:szCs w:val="28"/>
        </w:rPr>
        <w:t xml:space="preserve">, </w:t>
      </w:r>
      <w:proofErr w:type="spellStart"/>
      <w:r w:rsidRPr="000F1636">
        <w:rPr>
          <w:sz w:val="28"/>
          <w:szCs w:val="28"/>
        </w:rPr>
        <w:t>Excel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for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Windows</w:t>
      </w:r>
      <w:proofErr w:type="spellEnd"/>
      <w:r w:rsidRPr="000F1636">
        <w:rPr>
          <w:sz w:val="28"/>
          <w:szCs w:val="28"/>
        </w:rPr>
        <w:t xml:space="preserve"> XP </w:t>
      </w:r>
      <w:proofErr w:type="spellStart"/>
      <w:r w:rsidRPr="000F1636">
        <w:rPr>
          <w:sz w:val="28"/>
          <w:szCs w:val="28"/>
        </w:rPr>
        <w:t>Professional</w:t>
      </w:r>
      <w:proofErr w:type="spellEnd"/>
      <w:r w:rsidRPr="000F1636">
        <w:rPr>
          <w:sz w:val="28"/>
          <w:szCs w:val="28"/>
        </w:rPr>
        <w:t xml:space="preserve">. Рассчитывались параметрические критерии </w:t>
      </w:r>
      <w:r w:rsidR="00B8494F" w:rsidRPr="000F1636">
        <w:rPr>
          <w:sz w:val="28"/>
          <w:szCs w:val="28"/>
        </w:rPr>
        <w:t>–</w:t>
      </w:r>
      <w:r w:rsidRPr="000F1636">
        <w:rPr>
          <w:sz w:val="28"/>
          <w:szCs w:val="28"/>
        </w:rPr>
        <w:t xml:space="preserve"> среднее (М, Р), стандартная ошибка (</w:t>
      </w:r>
      <w:proofErr w:type="spellStart"/>
      <w:r w:rsidRPr="000F1636">
        <w:rPr>
          <w:sz w:val="28"/>
          <w:szCs w:val="28"/>
        </w:rPr>
        <w:t>m</w:t>
      </w:r>
      <w:proofErr w:type="spellEnd"/>
      <w:r w:rsidRPr="000F1636">
        <w:rPr>
          <w:sz w:val="28"/>
          <w:szCs w:val="28"/>
        </w:rPr>
        <w:t xml:space="preserve">, </w:t>
      </w:r>
      <w:proofErr w:type="spellStart"/>
      <w:r w:rsidRPr="000F1636">
        <w:rPr>
          <w:sz w:val="28"/>
          <w:szCs w:val="28"/>
        </w:rPr>
        <w:t>р</w:t>
      </w:r>
      <w:proofErr w:type="spellEnd"/>
      <w:r w:rsidRPr="000F1636">
        <w:rPr>
          <w:sz w:val="28"/>
          <w:szCs w:val="28"/>
        </w:rPr>
        <w:t xml:space="preserve">) и непараметрические – критерий </w:t>
      </w:r>
      <w:r w:rsidR="009D41C8" w:rsidRPr="000F1636">
        <w:rPr>
          <w:rFonts w:ascii="SymbolPS" w:hAnsi="SymbolPS"/>
          <w:color w:val="FF0000"/>
          <w:sz w:val="28"/>
          <w:szCs w:val="28"/>
        </w:rPr>
        <w:t></w:t>
      </w:r>
      <w:r w:rsidR="009D41C8" w:rsidRPr="000F1636">
        <w:rPr>
          <w:sz w:val="28"/>
          <w:szCs w:val="28"/>
        </w:rPr>
        <w:t>²</w:t>
      </w:r>
      <w:r w:rsidRPr="000F1636">
        <w:rPr>
          <w:sz w:val="28"/>
          <w:szCs w:val="28"/>
        </w:rPr>
        <w:t>. Стат</w:t>
      </w:r>
      <w:r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>стически значимыми считались различия между группами при уровне безош</w:t>
      </w:r>
      <w:r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>бочного прогноза более 95% (</w:t>
      </w:r>
      <w:proofErr w:type="spellStart"/>
      <w:proofErr w:type="gramStart"/>
      <w:r w:rsidRPr="000F1636">
        <w:rPr>
          <w:sz w:val="28"/>
          <w:szCs w:val="28"/>
        </w:rPr>
        <w:t>р</w:t>
      </w:r>
      <w:proofErr w:type="spellEnd"/>
      <w:proofErr w:type="gramEnd"/>
      <w:r w:rsidR="00B8494F" w:rsidRPr="000F1636">
        <w:rPr>
          <w:sz w:val="28"/>
          <w:szCs w:val="28"/>
        </w:rPr>
        <w:t xml:space="preserve"> &lt; </w:t>
      </w:r>
      <w:r w:rsidRPr="000F1636">
        <w:rPr>
          <w:sz w:val="28"/>
          <w:szCs w:val="28"/>
        </w:rPr>
        <w:t>0,05).</w:t>
      </w:r>
    </w:p>
    <w:p w:rsidR="001F5B2C" w:rsidRPr="000F1636" w:rsidRDefault="001F5B2C" w:rsidP="000F1636">
      <w:pPr>
        <w:ind w:firstLine="709"/>
        <w:jc w:val="both"/>
        <w:rPr>
          <w:sz w:val="28"/>
          <w:szCs w:val="28"/>
        </w:rPr>
      </w:pP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Результаты и обсуждение</w:t>
      </w:r>
    </w:p>
    <w:p w:rsidR="00E127C0" w:rsidRPr="000F1636" w:rsidRDefault="004C1345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У больных ЯБДК с перфорацией в </w:t>
      </w:r>
      <w:proofErr w:type="gramStart"/>
      <w:r w:rsidRPr="000F1636">
        <w:rPr>
          <w:sz w:val="28"/>
          <w:szCs w:val="28"/>
        </w:rPr>
        <w:t>анамнезе</w:t>
      </w:r>
      <w:proofErr w:type="gramEnd"/>
      <w:r w:rsidRPr="000F1636">
        <w:rPr>
          <w:sz w:val="28"/>
          <w:szCs w:val="28"/>
        </w:rPr>
        <w:t xml:space="preserve"> были зарегистрированы </w:t>
      </w:r>
      <w:r w:rsidR="00E127C0" w:rsidRPr="000F1636">
        <w:rPr>
          <w:sz w:val="28"/>
          <w:szCs w:val="28"/>
        </w:rPr>
        <w:t>б</w:t>
      </w:r>
      <w:r w:rsidR="00E127C0" w:rsidRPr="000F1636">
        <w:rPr>
          <w:sz w:val="28"/>
          <w:szCs w:val="28"/>
        </w:rPr>
        <w:t>о</w:t>
      </w:r>
      <w:r w:rsidR="00E127C0" w:rsidRPr="000F1636">
        <w:rPr>
          <w:sz w:val="28"/>
          <w:szCs w:val="28"/>
        </w:rPr>
        <w:t xml:space="preserve">лее низкие значения </w:t>
      </w:r>
      <w:proofErr w:type="spellStart"/>
      <w:r w:rsidR="00E127C0" w:rsidRPr="000F1636">
        <w:rPr>
          <w:sz w:val="28"/>
          <w:szCs w:val="28"/>
        </w:rPr>
        <w:t>рН</w:t>
      </w:r>
      <w:proofErr w:type="spellEnd"/>
      <w:r w:rsidR="00E127C0" w:rsidRPr="000F1636">
        <w:rPr>
          <w:sz w:val="28"/>
          <w:szCs w:val="28"/>
        </w:rPr>
        <w:t xml:space="preserve"> в теле желудка как в среднем за сутки, так в дневные и ночные часы, по сравнению с </w:t>
      </w:r>
      <w:proofErr w:type="spellStart"/>
      <w:r w:rsidR="00E127C0" w:rsidRPr="000F1636">
        <w:rPr>
          <w:sz w:val="28"/>
          <w:szCs w:val="28"/>
        </w:rPr>
        <w:t>неосложненным</w:t>
      </w:r>
      <w:proofErr w:type="spellEnd"/>
      <w:r w:rsidR="00E127C0" w:rsidRPr="000F1636">
        <w:rPr>
          <w:sz w:val="28"/>
          <w:szCs w:val="28"/>
        </w:rPr>
        <w:t xml:space="preserve"> течением заболевания</w:t>
      </w:r>
      <w:r w:rsidR="005F74B4" w:rsidRPr="000F1636">
        <w:rPr>
          <w:sz w:val="28"/>
          <w:szCs w:val="28"/>
        </w:rPr>
        <w:t xml:space="preserve"> (табл.</w:t>
      </w:r>
      <w:r w:rsidR="002370A9" w:rsidRPr="000F1636">
        <w:rPr>
          <w:sz w:val="28"/>
          <w:szCs w:val="28"/>
        </w:rPr>
        <w:t xml:space="preserve"> 1</w:t>
      </w:r>
      <w:r w:rsidR="005F74B4" w:rsidRPr="000F1636">
        <w:rPr>
          <w:sz w:val="28"/>
          <w:szCs w:val="28"/>
        </w:rPr>
        <w:t>)</w:t>
      </w:r>
      <w:r w:rsidR="00E127C0" w:rsidRPr="000F1636">
        <w:rPr>
          <w:sz w:val="28"/>
          <w:szCs w:val="28"/>
        </w:rPr>
        <w:t>. Кроме того,</w:t>
      </w:r>
      <w:r w:rsidR="007978EC" w:rsidRPr="000F1636">
        <w:rPr>
          <w:sz w:val="28"/>
          <w:szCs w:val="28"/>
        </w:rPr>
        <w:t xml:space="preserve"> если при </w:t>
      </w:r>
      <w:proofErr w:type="spellStart"/>
      <w:r w:rsidR="007978EC" w:rsidRPr="000F1636">
        <w:rPr>
          <w:sz w:val="28"/>
          <w:szCs w:val="28"/>
        </w:rPr>
        <w:t>неосложненном</w:t>
      </w:r>
      <w:proofErr w:type="spellEnd"/>
      <w:r w:rsidR="007978EC" w:rsidRPr="000F1636">
        <w:rPr>
          <w:sz w:val="28"/>
          <w:szCs w:val="28"/>
        </w:rPr>
        <w:t xml:space="preserve"> течении дневная продолжительность </w:t>
      </w:r>
      <w:proofErr w:type="spellStart"/>
      <w:r w:rsidR="007978EC" w:rsidRPr="000F1636">
        <w:rPr>
          <w:sz w:val="28"/>
          <w:szCs w:val="28"/>
        </w:rPr>
        <w:t>г</w:t>
      </w:r>
      <w:r w:rsidR="007978EC" w:rsidRPr="000F1636">
        <w:rPr>
          <w:sz w:val="28"/>
          <w:szCs w:val="28"/>
        </w:rPr>
        <w:t>и</w:t>
      </w:r>
      <w:r w:rsidR="007978EC" w:rsidRPr="000F1636">
        <w:rPr>
          <w:sz w:val="28"/>
          <w:szCs w:val="28"/>
        </w:rPr>
        <w:t>перацидности</w:t>
      </w:r>
      <w:proofErr w:type="spellEnd"/>
      <w:r w:rsidR="007978EC" w:rsidRPr="000F1636">
        <w:rPr>
          <w:sz w:val="28"/>
          <w:szCs w:val="28"/>
        </w:rPr>
        <w:t xml:space="preserve"> была значимо короче ночной, то </w:t>
      </w:r>
      <w:r w:rsidR="00E127C0" w:rsidRPr="000F1636">
        <w:rPr>
          <w:sz w:val="28"/>
          <w:szCs w:val="28"/>
        </w:rPr>
        <w:t xml:space="preserve">при осложненном течении ЯБДК наблюдалась </w:t>
      </w:r>
      <w:r w:rsidR="00FD3DFF" w:rsidRPr="000F1636">
        <w:rPr>
          <w:sz w:val="28"/>
          <w:szCs w:val="28"/>
        </w:rPr>
        <w:t xml:space="preserve">выраженная и </w:t>
      </w:r>
      <w:r w:rsidR="00E127C0" w:rsidRPr="000F1636">
        <w:rPr>
          <w:sz w:val="28"/>
          <w:szCs w:val="28"/>
        </w:rPr>
        <w:t xml:space="preserve">монотонная </w:t>
      </w:r>
      <w:proofErr w:type="spellStart"/>
      <w:r w:rsidR="00E127C0" w:rsidRPr="000F1636">
        <w:rPr>
          <w:sz w:val="28"/>
          <w:szCs w:val="28"/>
        </w:rPr>
        <w:t>гиперацидность</w:t>
      </w:r>
      <w:proofErr w:type="spellEnd"/>
      <w:r w:rsidR="00E127C0" w:rsidRPr="000F1636">
        <w:rPr>
          <w:sz w:val="28"/>
          <w:szCs w:val="28"/>
        </w:rPr>
        <w:t>, то есть отсутс</w:t>
      </w:r>
      <w:r w:rsidR="00E127C0" w:rsidRPr="000F1636">
        <w:rPr>
          <w:sz w:val="28"/>
          <w:szCs w:val="28"/>
        </w:rPr>
        <w:t>т</w:t>
      </w:r>
      <w:r w:rsidR="00E127C0" w:rsidRPr="000F1636">
        <w:rPr>
          <w:sz w:val="28"/>
          <w:szCs w:val="28"/>
        </w:rPr>
        <w:t xml:space="preserve">вие колебаний </w:t>
      </w:r>
      <w:proofErr w:type="spellStart"/>
      <w:r w:rsidR="00E127C0" w:rsidRPr="000F1636">
        <w:rPr>
          <w:sz w:val="28"/>
          <w:szCs w:val="28"/>
        </w:rPr>
        <w:t>рН</w:t>
      </w:r>
      <w:proofErr w:type="spellEnd"/>
      <w:r w:rsidR="00E127C0" w:rsidRPr="000F1636">
        <w:rPr>
          <w:sz w:val="28"/>
          <w:szCs w:val="28"/>
        </w:rPr>
        <w:t xml:space="preserve"> в течение суток.</w:t>
      </w:r>
    </w:p>
    <w:p w:rsidR="00E127C0" w:rsidRPr="000F1636" w:rsidRDefault="00B44BC5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В </w:t>
      </w:r>
      <w:proofErr w:type="spellStart"/>
      <w:r w:rsidRPr="000F1636">
        <w:rPr>
          <w:sz w:val="28"/>
          <w:szCs w:val="28"/>
        </w:rPr>
        <w:t>антральном</w:t>
      </w:r>
      <w:proofErr w:type="spellEnd"/>
      <w:r w:rsidRPr="000F1636">
        <w:rPr>
          <w:sz w:val="28"/>
          <w:szCs w:val="28"/>
        </w:rPr>
        <w:t xml:space="preserve"> отделе</w:t>
      </w:r>
      <w:r w:rsidR="00E127C0" w:rsidRPr="000F1636">
        <w:rPr>
          <w:sz w:val="28"/>
          <w:szCs w:val="28"/>
        </w:rPr>
        <w:t xml:space="preserve"> желудка </w:t>
      </w:r>
      <w:r w:rsidR="001D7BDB" w:rsidRPr="000F1636">
        <w:rPr>
          <w:sz w:val="28"/>
          <w:szCs w:val="28"/>
        </w:rPr>
        <w:t xml:space="preserve">у пациентов обеих групп </w:t>
      </w:r>
      <w:r w:rsidR="00027CD3" w:rsidRPr="000F1636">
        <w:rPr>
          <w:sz w:val="28"/>
          <w:szCs w:val="28"/>
        </w:rPr>
        <w:t>отмечена деко</w:t>
      </w:r>
      <w:r w:rsidR="00027CD3" w:rsidRPr="000F1636">
        <w:rPr>
          <w:sz w:val="28"/>
          <w:szCs w:val="28"/>
        </w:rPr>
        <w:t>м</w:t>
      </w:r>
      <w:r w:rsidR="00027CD3" w:rsidRPr="000F1636">
        <w:rPr>
          <w:sz w:val="28"/>
          <w:szCs w:val="28"/>
        </w:rPr>
        <w:t>пенсация ощелачивания, однако, между группами выявлены весьма существе</w:t>
      </w:r>
      <w:r w:rsidR="00027CD3" w:rsidRPr="000F1636">
        <w:rPr>
          <w:sz w:val="28"/>
          <w:szCs w:val="28"/>
        </w:rPr>
        <w:t>н</w:t>
      </w:r>
      <w:r w:rsidR="00027CD3" w:rsidRPr="000F1636">
        <w:rPr>
          <w:sz w:val="28"/>
          <w:szCs w:val="28"/>
        </w:rPr>
        <w:t xml:space="preserve">ные различия. При </w:t>
      </w:r>
      <w:proofErr w:type="spellStart"/>
      <w:r w:rsidR="00027CD3" w:rsidRPr="000F1636">
        <w:rPr>
          <w:sz w:val="28"/>
          <w:szCs w:val="28"/>
        </w:rPr>
        <w:t>неосложненном</w:t>
      </w:r>
      <w:proofErr w:type="spellEnd"/>
      <w:r w:rsidR="00027CD3" w:rsidRPr="000F1636">
        <w:rPr>
          <w:sz w:val="28"/>
          <w:szCs w:val="28"/>
        </w:rPr>
        <w:t xml:space="preserve"> течении </w:t>
      </w:r>
      <w:r w:rsidR="00FC3ED9" w:rsidRPr="000F1636">
        <w:rPr>
          <w:sz w:val="28"/>
          <w:szCs w:val="28"/>
        </w:rPr>
        <w:t xml:space="preserve">продолжительность </w:t>
      </w:r>
      <w:proofErr w:type="spellStart"/>
      <w:r w:rsidR="00FC3ED9" w:rsidRPr="000F1636">
        <w:rPr>
          <w:sz w:val="28"/>
          <w:szCs w:val="28"/>
        </w:rPr>
        <w:t>закисления</w:t>
      </w:r>
      <w:proofErr w:type="spellEnd"/>
      <w:r w:rsidR="00FC3ED9" w:rsidRPr="000F1636">
        <w:rPr>
          <w:sz w:val="28"/>
          <w:szCs w:val="28"/>
        </w:rPr>
        <w:t xml:space="preserve"> в течение суток не различалась, но </w:t>
      </w:r>
      <w:r w:rsidR="001D7BDB" w:rsidRPr="000F1636">
        <w:rPr>
          <w:sz w:val="28"/>
          <w:szCs w:val="28"/>
        </w:rPr>
        <w:t xml:space="preserve">средний </w:t>
      </w:r>
      <w:r w:rsidR="00027CD3" w:rsidRPr="000F1636">
        <w:rPr>
          <w:sz w:val="28"/>
          <w:szCs w:val="28"/>
        </w:rPr>
        <w:t xml:space="preserve">ночной </w:t>
      </w:r>
      <w:proofErr w:type="spellStart"/>
      <w:r w:rsidR="001D7BDB" w:rsidRPr="000F1636">
        <w:rPr>
          <w:sz w:val="28"/>
          <w:szCs w:val="28"/>
        </w:rPr>
        <w:t>рН</w:t>
      </w:r>
      <w:proofErr w:type="spellEnd"/>
      <w:r w:rsidR="001D7BDB" w:rsidRPr="000F1636">
        <w:rPr>
          <w:sz w:val="28"/>
          <w:szCs w:val="28"/>
        </w:rPr>
        <w:t xml:space="preserve"> </w:t>
      </w:r>
      <w:r w:rsidR="00027CD3" w:rsidRPr="000F1636">
        <w:rPr>
          <w:sz w:val="28"/>
          <w:szCs w:val="28"/>
        </w:rPr>
        <w:t xml:space="preserve">был достоверно выше среднего дневного. Это свидетельствует о </w:t>
      </w:r>
      <w:r w:rsidR="00FD3DFF" w:rsidRPr="000F1636">
        <w:rPr>
          <w:sz w:val="28"/>
          <w:szCs w:val="28"/>
        </w:rPr>
        <w:t>тяжелы</w:t>
      </w:r>
      <w:r w:rsidR="00027CD3" w:rsidRPr="000F1636">
        <w:rPr>
          <w:sz w:val="28"/>
          <w:szCs w:val="28"/>
        </w:rPr>
        <w:t>х наруш</w:t>
      </w:r>
      <w:r w:rsidR="00FC3ED9" w:rsidRPr="000F1636">
        <w:rPr>
          <w:sz w:val="28"/>
          <w:szCs w:val="28"/>
        </w:rPr>
        <w:t xml:space="preserve">ениях </w:t>
      </w:r>
      <w:proofErr w:type="spellStart"/>
      <w:r w:rsidR="00FC3ED9" w:rsidRPr="000F1636">
        <w:rPr>
          <w:sz w:val="28"/>
          <w:szCs w:val="28"/>
        </w:rPr>
        <w:t>антрального</w:t>
      </w:r>
      <w:proofErr w:type="spellEnd"/>
      <w:r w:rsidR="00FC3ED9" w:rsidRPr="000F1636">
        <w:rPr>
          <w:sz w:val="28"/>
          <w:szCs w:val="28"/>
        </w:rPr>
        <w:t xml:space="preserve"> ощелачивания при </w:t>
      </w:r>
      <w:r w:rsidR="00027CD3" w:rsidRPr="000F1636">
        <w:rPr>
          <w:sz w:val="28"/>
          <w:szCs w:val="28"/>
        </w:rPr>
        <w:t>сохран</w:t>
      </w:r>
      <w:r w:rsidR="00FD3DFF" w:rsidRPr="000F1636">
        <w:rPr>
          <w:sz w:val="28"/>
          <w:szCs w:val="28"/>
        </w:rPr>
        <w:t>ении</w:t>
      </w:r>
      <w:r w:rsidR="00027CD3" w:rsidRPr="000F1636">
        <w:rPr>
          <w:sz w:val="28"/>
          <w:szCs w:val="28"/>
        </w:rPr>
        <w:t xml:space="preserve"> нормальной циркадной динамики </w:t>
      </w:r>
      <w:proofErr w:type="spellStart"/>
      <w:r w:rsidR="00027CD3" w:rsidRPr="000F1636">
        <w:rPr>
          <w:sz w:val="28"/>
          <w:szCs w:val="28"/>
        </w:rPr>
        <w:t>антральной</w:t>
      </w:r>
      <w:proofErr w:type="spellEnd"/>
      <w:r w:rsidR="00027CD3" w:rsidRPr="000F1636">
        <w:rPr>
          <w:sz w:val="28"/>
          <w:szCs w:val="28"/>
        </w:rPr>
        <w:t xml:space="preserve"> кислотности. У </w:t>
      </w:r>
      <w:r w:rsidR="00E127C0" w:rsidRPr="000F1636">
        <w:rPr>
          <w:sz w:val="28"/>
          <w:szCs w:val="28"/>
        </w:rPr>
        <w:t>больных с перфорацией язвы</w:t>
      </w:r>
      <w:r w:rsidR="00027CD3" w:rsidRPr="000F1636">
        <w:rPr>
          <w:sz w:val="28"/>
          <w:szCs w:val="28"/>
        </w:rPr>
        <w:t xml:space="preserve"> в </w:t>
      </w:r>
      <w:proofErr w:type="gramStart"/>
      <w:r w:rsidR="00027CD3" w:rsidRPr="000F1636">
        <w:rPr>
          <w:sz w:val="28"/>
          <w:szCs w:val="28"/>
        </w:rPr>
        <w:t>анамнезе</w:t>
      </w:r>
      <w:proofErr w:type="gramEnd"/>
      <w:r w:rsidR="00E127C0" w:rsidRPr="000F1636">
        <w:rPr>
          <w:sz w:val="28"/>
          <w:szCs w:val="28"/>
        </w:rPr>
        <w:t xml:space="preserve"> </w:t>
      </w:r>
      <w:proofErr w:type="spellStart"/>
      <w:r w:rsidR="00E127C0" w:rsidRPr="000F1636">
        <w:rPr>
          <w:sz w:val="28"/>
          <w:szCs w:val="28"/>
        </w:rPr>
        <w:t>гиперацидность</w:t>
      </w:r>
      <w:proofErr w:type="spellEnd"/>
      <w:r w:rsidR="00E127C0" w:rsidRPr="000F1636">
        <w:rPr>
          <w:sz w:val="28"/>
          <w:szCs w:val="28"/>
        </w:rPr>
        <w:t xml:space="preserve"> в </w:t>
      </w:r>
      <w:proofErr w:type="spellStart"/>
      <w:r w:rsidR="00E127C0" w:rsidRPr="000F1636">
        <w:rPr>
          <w:sz w:val="28"/>
          <w:szCs w:val="28"/>
        </w:rPr>
        <w:t>а</w:t>
      </w:r>
      <w:r w:rsidR="00E127C0" w:rsidRPr="000F1636">
        <w:rPr>
          <w:sz w:val="28"/>
          <w:szCs w:val="28"/>
        </w:rPr>
        <w:t>н</w:t>
      </w:r>
      <w:r w:rsidR="00E127C0" w:rsidRPr="000F1636">
        <w:rPr>
          <w:sz w:val="28"/>
          <w:szCs w:val="28"/>
        </w:rPr>
        <w:t>труме</w:t>
      </w:r>
      <w:proofErr w:type="spellEnd"/>
      <w:r w:rsidR="00027CD3" w:rsidRPr="000F1636">
        <w:rPr>
          <w:sz w:val="28"/>
          <w:szCs w:val="28"/>
        </w:rPr>
        <w:t xml:space="preserve"> была</w:t>
      </w:r>
      <w:r w:rsidR="00FC3ED9" w:rsidRPr="000F1636">
        <w:rPr>
          <w:sz w:val="28"/>
          <w:szCs w:val="28"/>
        </w:rPr>
        <w:t>, в целом,</w:t>
      </w:r>
      <w:r w:rsidR="00027CD3" w:rsidRPr="000F1636">
        <w:rPr>
          <w:sz w:val="28"/>
          <w:szCs w:val="28"/>
        </w:rPr>
        <w:t xml:space="preserve"> тяжелее</w:t>
      </w:r>
      <w:r w:rsidR="00E127C0" w:rsidRPr="000F1636">
        <w:rPr>
          <w:sz w:val="28"/>
          <w:szCs w:val="28"/>
        </w:rPr>
        <w:t xml:space="preserve">. </w:t>
      </w:r>
      <w:r w:rsidR="00FC3ED9" w:rsidRPr="000F1636">
        <w:rPr>
          <w:sz w:val="28"/>
          <w:szCs w:val="28"/>
        </w:rPr>
        <w:t>Кроме того, д</w:t>
      </w:r>
      <w:r w:rsidR="00E127C0" w:rsidRPr="000F1636">
        <w:rPr>
          <w:sz w:val="28"/>
          <w:szCs w:val="28"/>
        </w:rPr>
        <w:t xml:space="preserve">невное и ночное значение </w:t>
      </w:r>
      <w:proofErr w:type="spellStart"/>
      <w:r w:rsidR="00E127C0" w:rsidRPr="000F1636">
        <w:rPr>
          <w:sz w:val="28"/>
          <w:szCs w:val="28"/>
        </w:rPr>
        <w:t>рН</w:t>
      </w:r>
      <w:proofErr w:type="spellEnd"/>
      <w:r w:rsidR="00E127C0" w:rsidRPr="000F1636">
        <w:rPr>
          <w:sz w:val="28"/>
          <w:szCs w:val="28"/>
        </w:rPr>
        <w:t xml:space="preserve"> в этой группе больных </w:t>
      </w:r>
      <w:r w:rsidR="00027CD3" w:rsidRPr="000F1636">
        <w:rPr>
          <w:sz w:val="28"/>
          <w:szCs w:val="28"/>
        </w:rPr>
        <w:t>значимо не различались, зарегистрировано достоверное увел</w:t>
      </w:r>
      <w:r w:rsidR="00027CD3" w:rsidRPr="000F1636">
        <w:rPr>
          <w:sz w:val="28"/>
          <w:szCs w:val="28"/>
        </w:rPr>
        <w:t>и</w:t>
      </w:r>
      <w:r w:rsidR="00027CD3" w:rsidRPr="000F1636">
        <w:rPr>
          <w:sz w:val="28"/>
          <w:szCs w:val="28"/>
        </w:rPr>
        <w:t xml:space="preserve">чение продолжительности </w:t>
      </w:r>
      <w:proofErr w:type="spellStart"/>
      <w:r w:rsidR="00027CD3" w:rsidRPr="000F1636">
        <w:rPr>
          <w:sz w:val="28"/>
          <w:szCs w:val="28"/>
        </w:rPr>
        <w:t>декомпенсированного</w:t>
      </w:r>
      <w:proofErr w:type="spellEnd"/>
      <w:r w:rsidR="00027CD3" w:rsidRPr="000F1636">
        <w:rPr>
          <w:sz w:val="28"/>
          <w:szCs w:val="28"/>
        </w:rPr>
        <w:t xml:space="preserve"> ощелачивания в ночное время. Иначе говоря, суточная динамика </w:t>
      </w:r>
      <w:proofErr w:type="spellStart"/>
      <w:r w:rsidR="00027CD3" w:rsidRPr="000F1636">
        <w:rPr>
          <w:sz w:val="28"/>
          <w:szCs w:val="28"/>
        </w:rPr>
        <w:t>антрального</w:t>
      </w:r>
      <w:proofErr w:type="spellEnd"/>
      <w:r w:rsidR="00027CD3" w:rsidRPr="000F1636">
        <w:rPr>
          <w:sz w:val="28"/>
          <w:szCs w:val="28"/>
        </w:rPr>
        <w:t xml:space="preserve"> </w:t>
      </w:r>
      <w:proofErr w:type="spellStart"/>
      <w:r w:rsidR="00027CD3" w:rsidRPr="000F1636">
        <w:rPr>
          <w:sz w:val="28"/>
          <w:szCs w:val="28"/>
        </w:rPr>
        <w:t>рН</w:t>
      </w:r>
      <w:proofErr w:type="spellEnd"/>
      <w:r w:rsidR="00027CD3" w:rsidRPr="000F1636">
        <w:rPr>
          <w:sz w:val="28"/>
          <w:szCs w:val="28"/>
        </w:rPr>
        <w:t xml:space="preserve"> при осложненном течении ЯБДК была аномальной </w:t>
      </w:r>
      <w:r w:rsidR="0062258B" w:rsidRPr="000F1636">
        <w:rPr>
          <w:sz w:val="28"/>
          <w:szCs w:val="28"/>
        </w:rPr>
        <w:t>–</w:t>
      </w:r>
      <w:r w:rsidR="00027CD3" w:rsidRPr="000F1636">
        <w:rPr>
          <w:sz w:val="28"/>
          <w:szCs w:val="28"/>
        </w:rPr>
        <w:t xml:space="preserve"> </w:t>
      </w:r>
      <w:r w:rsidR="0062258B" w:rsidRPr="000F1636">
        <w:rPr>
          <w:sz w:val="28"/>
          <w:szCs w:val="28"/>
        </w:rPr>
        <w:t>снижение ощелачивания в ночное время</w:t>
      </w:r>
      <w:r w:rsidR="00E127C0" w:rsidRPr="000F1636">
        <w:rPr>
          <w:sz w:val="28"/>
          <w:szCs w:val="28"/>
        </w:rPr>
        <w:t>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Продолжительность ДГР была </w:t>
      </w:r>
      <w:r w:rsidR="002370A9" w:rsidRPr="000F1636">
        <w:rPr>
          <w:sz w:val="28"/>
          <w:szCs w:val="28"/>
        </w:rPr>
        <w:t xml:space="preserve">значимо меньше </w:t>
      </w:r>
      <w:r w:rsidRPr="000F1636">
        <w:rPr>
          <w:sz w:val="28"/>
          <w:szCs w:val="28"/>
        </w:rPr>
        <w:t>у больных с осложне</w:t>
      </w:r>
      <w:r w:rsidRPr="000F1636">
        <w:rPr>
          <w:sz w:val="28"/>
          <w:szCs w:val="28"/>
        </w:rPr>
        <w:t>н</w:t>
      </w:r>
      <w:r w:rsidRPr="000F1636">
        <w:rPr>
          <w:sz w:val="28"/>
          <w:szCs w:val="28"/>
        </w:rPr>
        <w:t xml:space="preserve">ным течением ЯБДК по сравнению с </w:t>
      </w:r>
      <w:proofErr w:type="spellStart"/>
      <w:r w:rsidRPr="000F1636">
        <w:rPr>
          <w:sz w:val="28"/>
          <w:szCs w:val="28"/>
        </w:rPr>
        <w:t>нео</w:t>
      </w:r>
      <w:r w:rsidR="002370A9" w:rsidRPr="000F1636">
        <w:rPr>
          <w:sz w:val="28"/>
          <w:szCs w:val="28"/>
        </w:rPr>
        <w:t>сложненным</w:t>
      </w:r>
      <w:proofErr w:type="spellEnd"/>
      <w:r w:rsidR="002370A9" w:rsidRPr="000F1636">
        <w:rPr>
          <w:sz w:val="28"/>
          <w:szCs w:val="28"/>
        </w:rPr>
        <w:t xml:space="preserve"> течением заболевания.</w:t>
      </w:r>
      <w:r w:rsidRPr="000F1636">
        <w:rPr>
          <w:sz w:val="28"/>
          <w:szCs w:val="28"/>
        </w:rPr>
        <w:t xml:space="preserve"> В ночное время продолжительность ДГР </w:t>
      </w:r>
      <w:r w:rsidR="002370A9" w:rsidRPr="000F1636">
        <w:rPr>
          <w:sz w:val="28"/>
          <w:szCs w:val="28"/>
        </w:rPr>
        <w:t>в</w:t>
      </w:r>
      <w:r w:rsidR="00AC71EE" w:rsidRPr="000F1636">
        <w:rPr>
          <w:sz w:val="28"/>
          <w:szCs w:val="28"/>
        </w:rPr>
        <w:t xml:space="preserve"> 1</w:t>
      </w:r>
      <w:r w:rsidR="002370A9" w:rsidRPr="000F1636">
        <w:rPr>
          <w:sz w:val="28"/>
          <w:szCs w:val="28"/>
        </w:rPr>
        <w:t xml:space="preserve">-й группе </w:t>
      </w:r>
      <w:r w:rsidRPr="000F1636">
        <w:rPr>
          <w:sz w:val="28"/>
          <w:szCs w:val="28"/>
        </w:rPr>
        <w:t>увеличи</w:t>
      </w:r>
      <w:r w:rsidR="002370A9" w:rsidRPr="000F1636">
        <w:rPr>
          <w:sz w:val="28"/>
          <w:szCs w:val="28"/>
        </w:rPr>
        <w:t>ва</w:t>
      </w:r>
      <w:r w:rsidRPr="000F1636">
        <w:rPr>
          <w:sz w:val="28"/>
          <w:szCs w:val="28"/>
        </w:rPr>
        <w:t>лась, в то время как в</w:t>
      </w:r>
      <w:r w:rsidR="00AC71EE" w:rsidRPr="000F1636">
        <w:rPr>
          <w:sz w:val="28"/>
          <w:szCs w:val="28"/>
        </w:rPr>
        <w:t>о 2</w:t>
      </w:r>
      <w:r w:rsidRPr="000F1636">
        <w:rPr>
          <w:sz w:val="28"/>
          <w:szCs w:val="28"/>
        </w:rPr>
        <w:t>-й</w:t>
      </w:r>
      <w:r w:rsidR="00AC71EE" w:rsidRPr="000F1636">
        <w:rPr>
          <w:sz w:val="28"/>
          <w:szCs w:val="28"/>
        </w:rPr>
        <w:t xml:space="preserve"> – не менялась</w:t>
      </w:r>
      <w:r w:rsidRPr="000F1636">
        <w:rPr>
          <w:sz w:val="28"/>
          <w:szCs w:val="28"/>
        </w:rPr>
        <w:t xml:space="preserve">. Число ДГР продолжительностью 5 минут и более у </w:t>
      </w:r>
      <w:r w:rsidR="00FC3ED9" w:rsidRPr="000F1636">
        <w:rPr>
          <w:sz w:val="28"/>
          <w:szCs w:val="28"/>
        </w:rPr>
        <w:t>пациентов</w:t>
      </w:r>
      <w:r w:rsidRPr="000F1636">
        <w:rPr>
          <w:sz w:val="28"/>
          <w:szCs w:val="28"/>
        </w:rPr>
        <w:t xml:space="preserve"> с </w:t>
      </w:r>
      <w:proofErr w:type="spellStart"/>
      <w:r w:rsidRPr="000F1636">
        <w:rPr>
          <w:sz w:val="28"/>
          <w:szCs w:val="28"/>
        </w:rPr>
        <w:t>неосложненным</w:t>
      </w:r>
      <w:proofErr w:type="spellEnd"/>
      <w:r w:rsidRPr="000F1636">
        <w:rPr>
          <w:sz w:val="28"/>
          <w:szCs w:val="28"/>
        </w:rPr>
        <w:t xml:space="preserve"> течением ЯБДК</w:t>
      </w:r>
      <w:r w:rsidR="00AC71EE" w:rsidRPr="000F1636">
        <w:rPr>
          <w:sz w:val="28"/>
          <w:szCs w:val="28"/>
        </w:rPr>
        <w:t xml:space="preserve"> было в 2 раза выше, чем </w:t>
      </w:r>
      <w:r w:rsidRPr="000F1636">
        <w:rPr>
          <w:sz w:val="28"/>
          <w:szCs w:val="28"/>
        </w:rPr>
        <w:t>у бол</w:t>
      </w:r>
      <w:r w:rsidRPr="000F1636">
        <w:rPr>
          <w:sz w:val="28"/>
          <w:szCs w:val="28"/>
        </w:rPr>
        <w:t>ь</w:t>
      </w:r>
      <w:r w:rsidRPr="000F1636">
        <w:rPr>
          <w:sz w:val="28"/>
          <w:szCs w:val="28"/>
        </w:rPr>
        <w:t xml:space="preserve">ных с перфорацией в анамнезе. Таким образом, у пациентов ЯБДК с </w:t>
      </w:r>
      <w:r w:rsidR="002370A9" w:rsidRPr="000F1636">
        <w:rPr>
          <w:sz w:val="28"/>
          <w:szCs w:val="28"/>
        </w:rPr>
        <w:t>перфор</w:t>
      </w:r>
      <w:r w:rsidR="002370A9" w:rsidRPr="000F1636">
        <w:rPr>
          <w:sz w:val="28"/>
          <w:szCs w:val="28"/>
        </w:rPr>
        <w:t>а</w:t>
      </w:r>
      <w:r w:rsidR="002370A9" w:rsidRPr="000F1636">
        <w:rPr>
          <w:sz w:val="28"/>
          <w:szCs w:val="28"/>
        </w:rPr>
        <w:t xml:space="preserve">цией язвы </w:t>
      </w:r>
      <w:r w:rsidRPr="000F1636">
        <w:rPr>
          <w:sz w:val="28"/>
          <w:szCs w:val="28"/>
        </w:rPr>
        <w:t xml:space="preserve">в </w:t>
      </w:r>
      <w:proofErr w:type="gramStart"/>
      <w:r w:rsidRPr="000F1636">
        <w:rPr>
          <w:sz w:val="28"/>
          <w:szCs w:val="28"/>
        </w:rPr>
        <w:t>анамнезе</w:t>
      </w:r>
      <w:proofErr w:type="gramEnd"/>
      <w:r w:rsidRPr="000F1636">
        <w:rPr>
          <w:sz w:val="28"/>
          <w:szCs w:val="28"/>
        </w:rPr>
        <w:t xml:space="preserve"> </w:t>
      </w:r>
      <w:r w:rsidR="002370A9" w:rsidRPr="000F1636">
        <w:rPr>
          <w:sz w:val="28"/>
          <w:szCs w:val="28"/>
        </w:rPr>
        <w:t>отмечено</w:t>
      </w:r>
      <w:r w:rsidR="0023356D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угнетен</w:t>
      </w:r>
      <w:r w:rsidR="002370A9" w:rsidRPr="000F1636">
        <w:rPr>
          <w:sz w:val="28"/>
          <w:szCs w:val="28"/>
        </w:rPr>
        <w:t>ие</w:t>
      </w:r>
      <w:r w:rsidRPr="000F1636">
        <w:rPr>
          <w:sz w:val="28"/>
          <w:szCs w:val="28"/>
        </w:rPr>
        <w:t xml:space="preserve"> ДГР</w:t>
      </w:r>
      <w:r w:rsidR="00AC71EE" w:rsidRPr="000F1636">
        <w:rPr>
          <w:sz w:val="28"/>
          <w:szCs w:val="28"/>
        </w:rPr>
        <w:t xml:space="preserve">, в особенности в ночное время, что может объяснять выраженную и стойкую декомпенсацию </w:t>
      </w:r>
      <w:proofErr w:type="spellStart"/>
      <w:r w:rsidR="00AC71EE" w:rsidRPr="000F1636">
        <w:rPr>
          <w:sz w:val="28"/>
          <w:szCs w:val="28"/>
        </w:rPr>
        <w:t>антрального</w:t>
      </w:r>
      <w:proofErr w:type="spellEnd"/>
      <w:r w:rsidR="00AC71EE" w:rsidRPr="000F1636">
        <w:rPr>
          <w:sz w:val="28"/>
          <w:szCs w:val="28"/>
        </w:rPr>
        <w:t xml:space="preserve"> ощелачивания в этой группе</w:t>
      </w:r>
      <w:r w:rsidRPr="000F1636">
        <w:rPr>
          <w:sz w:val="28"/>
          <w:szCs w:val="28"/>
        </w:rPr>
        <w:t>.</w:t>
      </w:r>
    </w:p>
    <w:p w:rsidR="00E127C0" w:rsidRPr="000F1636" w:rsidRDefault="00D70E0C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Изучался </w:t>
      </w:r>
      <w:proofErr w:type="spellStart"/>
      <w:r w:rsidRPr="000F1636">
        <w:rPr>
          <w:sz w:val="28"/>
          <w:szCs w:val="28"/>
        </w:rPr>
        <w:t>антисекреторный</w:t>
      </w:r>
      <w:proofErr w:type="spellEnd"/>
      <w:r w:rsidRPr="000F1636">
        <w:rPr>
          <w:sz w:val="28"/>
          <w:szCs w:val="28"/>
        </w:rPr>
        <w:t xml:space="preserve"> эффект</w:t>
      </w:r>
      <w:r w:rsidR="001C030F" w:rsidRPr="000F1636">
        <w:rPr>
          <w:sz w:val="28"/>
          <w:szCs w:val="28"/>
        </w:rPr>
        <w:t xml:space="preserve"> стандартных доз </w:t>
      </w:r>
      <w:proofErr w:type="spellStart"/>
      <w:r w:rsidR="001C030F" w:rsidRPr="000F1636">
        <w:rPr>
          <w:sz w:val="28"/>
          <w:szCs w:val="28"/>
        </w:rPr>
        <w:t>генериков</w:t>
      </w:r>
      <w:proofErr w:type="spellEnd"/>
      <w:r w:rsidR="001C030F" w:rsidRPr="000F1636">
        <w:rPr>
          <w:sz w:val="28"/>
          <w:szCs w:val="28"/>
        </w:rPr>
        <w:t xml:space="preserve"> </w:t>
      </w:r>
      <w:proofErr w:type="spellStart"/>
      <w:r w:rsidR="001C030F" w:rsidRPr="000F1636">
        <w:rPr>
          <w:sz w:val="28"/>
          <w:szCs w:val="28"/>
        </w:rPr>
        <w:t>омепраз</w:t>
      </w:r>
      <w:r w:rsidR="001C030F" w:rsidRPr="000F1636">
        <w:rPr>
          <w:sz w:val="28"/>
          <w:szCs w:val="28"/>
        </w:rPr>
        <w:t>о</w:t>
      </w:r>
      <w:r w:rsidR="001C030F" w:rsidRPr="000F1636">
        <w:rPr>
          <w:sz w:val="28"/>
          <w:szCs w:val="28"/>
        </w:rPr>
        <w:t>ла</w:t>
      </w:r>
      <w:proofErr w:type="spellEnd"/>
      <w:r w:rsidR="001C030F" w:rsidRPr="000F1636">
        <w:rPr>
          <w:sz w:val="28"/>
          <w:szCs w:val="28"/>
        </w:rPr>
        <w:t xml:space="preserve"> в </w:t>
      </w:r>
      <w:proofErr w:type="gramStart"/>
      <w:r w:rsidR="001C030F" w:rsidRPr="000F1636">
        <w:rPr>
          <w:sz w:val="28"/>
          <w:szCs w:val="28"/>
        </w:rPr>
        <w:t>группах</w:t>
      </w:r>
      <w:proofErr w:type="gramEnd"/>
      <w:r w:rsidR="00B14178" w:rsidRPr="000F1636">
        <w:rPr>
          <w:sz w:val="28"/>
          <w:szCs w:val="28"/>
        </w:rPr>
        <w:t xml:space="preserve"> (табл. 2)</w:t>
      </w:r>
      <w:r w:rsidR="00E127C0" w:rsidRPr="000F1636">
        <w:rPr>
          <w:sz w:val="28"/>
          <w:szCs w:val="28"/>
        </w:rPr>
        <w:t xml:space="preserve">. </w:t>
      </w:r>
      <w:r w:rsidR="00691C76" w:rsidRPr="000F1636">
        <w:rPr>
          <w:sz w:val="28"/>
          <w:szCs w:val="28"/>
        </w:rPr>
        <w:t xml:space="preserve">Как </w:t>
      </w:r>
      <w:proofErr w:type="gramStart"/>
      <w:r w:rsidR="00691C76" w:rsidRPr="000F1636">
        <w:rPr>
          <w:sz w:val="28"/>
          <w:szCs w:val="28"/>
        </w:rPr>
        <w:t>средний</w:t>
      </w:r>
      <w:proofErr w:type="gramEnd"/>
      <w:r w:rsidR="00691C76" w:rsidRPr="000F1636">
        <w:rPr>
          <w:sz w:val="28"/>
          <w:szCs w:val="28"/>
        </w:rPr>
        <w:t xml:space="preserve"> </w:t>
      </w:r>
      <w:proofErr w:type="spellStart"/>
      <w:r w:rsidR="00691C76" w:rsidRPr="000F1636">
        <w:rPr>
          <w:sz w:val="28"/>
          <w:szCs w:val="28"/>
        </w:rPr>
        <w:t>рН</w:t>
      </w:r>
      <w:proofErr w:type="spellEnd"/>
      <w:r w:rsidR="00691C76" w:rsidRPr="000F1636">
        <w:rPr>
          <w:sz w:val="28"/>
          <w:szCs w:val="28"/>
        </w:rPr>
        <w:t>, так и временные интервалы с заданн</w:t>
      </w:r>
      <w:r w:rsidR="00691C76" w:rsidRPr="000F1636">
        <w:rPr>
          <w:sz w:val="28"/>
          <w:szCs w:val="28"/>
        </w:rPr>
        <w:t>ы</w:t>
      </w:r>
      <w:r w:rsidR="00691C76" w:rsidRPr="000F1636">
        <w:rPr>
          <w:sz w:val="28"/>
          <w:szCs w:val="28"/>
        </w:rPr>
        <w:t xml:space="preserve">ми значениями </w:t>
      </w:r>
      <w:proofErr w:type="spellStart"/>
      <w:r w:rsidR="00691C76" w:rsidRPr="000F1636">
        <w:rPr>
          <w:sz w:val="28"/>
          <w:szCs w:val="28"/>
        </w:rPr>
        <w:t>рН</w:t>
      </w:r>
      <w:proofErr w:type="spellEnd"/>
      <w:r w:rsidRPr="000F1636">
        <w:rPr>
          <w:sz w:val="28"/>
          <w:szCs w:val="28"/>
        </w:rPr>
        <w:t>,</w:t>
      </w:r>
      <w:r w:rsidR="00691C76" w:rsidRPr="000F1636">
        <w:rPr>
          <w:sz w:val="28"/>
          <w:szCs w:val="28"/>
        </w:rPr>
        <w:t xml:space="preserve"> были значимо выше при </w:t>
      </w:r>
      <w:proofErr w:type="spellStart"/>
      <w:r w:rsidR="00691C76" w:rsidRPr="000F1636">
        <w:rPr>
          <w:sz w:val="28"/>
          <w:szCs w:val="28"/>
        </w:rPr>
        <w:t>неосложненном</w:t>
      </w:r>
      <w:proofErr w:type="spellEnd"/>
      <w:r w:rsidR="00691C76" w:rsidRPr="000F1636">
        <w:rPr>
          <w:sz w:val="28"/>
          <w:szCs w:val="28"/>
        </w:rPr>
        <w:t xml:space="preserve"> течении заболев</w:t>
      </w:r>
      <w:r w:rsidR="00691C76" w:rsidRPr="000F1636">
        <w:rPr>
          <w:sz w:val="28"/>
          <w:szCs w:val="28"/>
        </w:rPr>
        <w:t>а</w:t>
      </w:r>
      <w:r w:rsidR="00691C76" w:rsidRPr="000F1636">
        <w:rPr>
          <w:sz w:val="28"/>
          <w:szCs w:val="28"/>
        </w:rPr>
        <w:t>ния</w:t>
      </w:r>
      <w:r w:rsidR="00E127C0" w:rsidRPr="000F1636">
        <w:rPr>
          <w:sz w:val="28"/>
          <w:szCs w:val="28"/>
        </w:rPr>
        <w:t xml:space="preserve">. </w:t>
      </w:r>
      <w:r w:rsidR="00691C76" w:rsidRPr="000F1636">
        <w:rPr>
          <w:sz w:val="28"/>
          <w:szCs w:val="28"/>
        </w:rPr>
        <w:t>В целом, д</w:t>
      </w:r>
      <w:r w:rsidR="00E127C0" w:rsidRPr="000F1636">
        <w:rPr>
          <w:sz w:val="28"/>
          <w:szCs w:val="28"/>
        </w:rPr>
        <w:t xml:space="preserve">остаточный эффект </w:t>
      </w:r>
      <w:proofErr w:type="spellStart"/>
      <w:r w:rsidR="00E127C0" w:rsidRPr="000F1636">
        <w:rPr>
          <w:sz w:val="28"/>
          <w:szCs w:val="28"/>
        </w:rPr>
        <w:t>антисекреторной</w:t>
      </w:r>
      <w:proofErr w:type="spellEnd"/>
      <w:r w:rsidR="00E127C0" w:rsidRPr="000F1636">
        <w:rPr>
          <w:sz w:val="28"/>
          <w:szCs w:val="28"/>
        </w:rPr>
        <w:t xml:space="preserve"> терапии был отмечен у 5</w:t>
      </w:r>
      <w:r w:rsidR="005E5A8D" w:rsidRPr="000F1636">
        <w:rPr>
          <w:sz w:val="28"/>
          <w:szCs w:val="28"/>
        </w:rPr>
        <w:t>4</w:t>
      </w:r>
      <w:r w:rsidR="00E127C0" w:rsidRPr="000F1636">
        <w:rPr>
          <w:sz w:val="28"/>
          <w:szCs w:val="28"/>
        </w:rPr>
        <w:t xml:space="preserve"> (8</w:t>
      </w:r>
      <w:r w:rsidR="005E5A8D" w:rsidRPr="000F1636">
        <w:rPr>
          <w:sz w:val="28"/>
          <w:szCs w:val="28"/>
        </w:rPr>
        <w:t>8,5</w:t>
      </w:r>
      <w:r w:rsidR="00E127C0" w:rsidRPr="000F1636">
        <w:rPr>
          <w:sz w:val="28"/>
          <w:szCs w:val="28"/>
        </w:rPr>
        <w:t xml:space="preserve">%) больных с </w:t>
      </w:r>
      <w:proofErr w:type="spellStart"/>
      <w:r w:rsidR="00E127C0" w:rsidRPr="000F1636">
        <w:rPr>
          <w:sz w:val="28"/>
          <w:szCs w:val="28"/>
        </w:rPr>
        <w:t>неосложненным</w:t>
      </w:r>
      <w:proofErr w:type="spellEnd"/>
      <w:r w:rsidR="00E127C0" w:rsidRPr="000F1636">
        <w:rPr>
          <w:sz w:val="28"/>
          <w:szCs w:val="28"/>
        </w:rPr>
        <w:t xml:space="preserve"> тече</w:t>
      </w:r>
      <w:r w:rsidR="005E5A8D" w:rsidRPr="000F1636">
        <w:rPr>
          <w:sz w:val="28"/>
          <w:szCs w:val="28"/>
        </w:rPr>
        <w:t xml:space="preserve">нием ЯБДК и </w:t>
      </w:r>
      <w:r w:rsidR="0015117E" w:rsidRPr="000F1636">
        <w:rPr>
          <w:sz w:val="28"/>
          <w:szCs w:val="28"/>
        </w:rPr>
        <w:t xml:space="preserve">у </w:t>
      </w:r>
      <w:r w:rsidR="005E5A8D" w:rsidRPr="000F1636">
        <w:rPr>
          <w:sz w:val="28"/>
          <w:szCs w:val="28"/>
        </w:rPr>
        <w:t>38</w:t>
      </w:r>
      <w:r w:rsidR="00E127C0" w:rsidRPr="000F1636">
        <w:rPr>
          <w:sz w:val="28"/>
          <w:szCs w:val="28"/>
        </w:rPr>
        <w:t xml:space="preserve"> (</w:t>
      </w:r>
      <w:r w:rsidR="005E5A8D" w:rsidRPr="000F1636">
        <w:rPr>
          <w:sz w:val="28"/>
          <w:szCs w:val="28"/>
        </w:rPr>
        <w:t>73</w:t>
      </w:r>
      <w:r w:rsidR="00E127C0" w:rsidRPr="000F1636">
        <w:rPr>
          <w:sz w:val="28"/>
          <w:szCs w:val="28"/>
        </w:rPr>
        <w:t>%</w:t>
      </w:r>
      <w:r w:rsidR="009A62A5" w:rsidRPr="000F1636">
        <w:rPr>
          <w:sz w:val="28"/>
          <w:szCs w:val="28"/>
        </w:rPr>
        <w:t xml:space="preserve">; </w:t>
      </w:r>
      <w:proofErr w:type="gramStart"/>
      <w:r w:rsidR="009A62A5" w:rsidRPr="000F1636">
        <w:rPr>
          <w:sz w:val="28"/>
          <w:szCs w:val="28"/>
        </w:rPr>
        <w:t>р</w:t>
      </w:r>
      <w:proofErr w:type="gramEnd"/>
      <w:r w:rsidR="009D41C8" w:rsidRPr="000F1636">
        <w:rPr>
          <w:rFonts w:ascii="SymbolPS" w:hAnsi="SymbolPS"/>
          <w:color w:val="FF0000"/>
          <w:sz w:val="28"/>
          <w:szCs w:val="28"/>
          <w:vertAlign w:val="subscript"/>
        </w:rPr>
        <w:t></w:t>
      </w:r>
      <w:r w:rsidR="009D41C8" w:rsidRPr="000F1636">
        <w:rPr>
          <w:sz w:val="28"/>
          <w:szCs w:val="28"/>
          <w:vertAlign w:val="subscript"/>
        </w:rPr>
        <w:t>²</w:t>
      </w:r>
      <w:r w:rsidR="00B8494F" w:rsidRPr="000F1636">
        <w:rPr>
          <w:sz w:val="28"/>
          <w:szCs w:val="28"/>
        </w:rPr>
        <w:t xml:space="preserve"> &lt; </w:t>
      </w:r>
      <w:r w:rsidR="009A62A5" w:rsidRPr="000F1636">
        <w:rPr>
          <w:sz w:val="28"/>
          <w:szCs w:val="28"/>
        </w:rPr>
        <w:t>0,05</w:t>
      </w:r>
      <w:r w:rsidR="00E127C0" w:rsidRPr="000F1636">
        <w:rPr>
          <w:sz w:val="28"/>
          <w:szCs w:val="28"/>
        </w:rPr>
        <w:t>) п</w:t>
      </w:r>
      <w:r w:rsidR="00E127C0" w:rsidRPr="000F1636">
        <w:rPr>
          <w:sz w:val="28"/>
          <w:szCs w:val="28"/>
        </w:rPr>
        <w:t>а</w:t>
      </w:r>
      <w:r w:rsidR="00E127C0" w:rsidRPr="000F1636">
        <w:rPr>
          <w:sz w:val="28"/>
          <w:szCs w:val="28"/>
        </w:rPr>
        <w:t xml:space="preserve">циентов с перфорацией в анамнезе. </w:t>
      </w:r>
      <w:r w:rsidR="005E5A8D" w:rsidRPr="000F1636">
        <w:rPr>
          <w:sz w:val="28"/>
          <w:szCs w:val="28"/>
        </w:rPr>
        <w:t>В обеих группах при выявлении недост</w:t>
      </w:r>
      <w:r w:rsidR="005E5A8D" w:rsidRPr="000F1636">
        <w:rPr>
          <w:sz w:val="28"/>
          <w:szCs w:val="28"/>
        </w:rPr>
        <w:t>а</w:t>
      </w:r>
      <w:r w:rsidR="005E5A8D" w:rsidRPr="000F1636">
        <w:rPr>
          <w:sz w:val="28"/>
          <w:szCs w:val="28"/>
        </w:rPr>
        <w:t xml:space="preserve">точного </w:t>
      </w:r>
      <w:proofErr w:type="spellStart"/>
      <w:r w:rsidR="005E5A8D" w:rsidRPr="000F1636">
        <w:rPr>
          <w:sz w:val="28"/>
          <w:szCs w:val="28"/>
        </w:rPr>
        <w:t>антисекреторного</w:t>
      </w:r>
      <w:proofErr w:type="spellEnd"/>
      <w:r w:rsidR="005E5A8D" w:rsidRPr="000F1636">
        <w:rPr>
          <w:sz w:val="28"/>
          <w:szCs w:val="28"/>
        </w:rPr>
        <w:t xml:space="preserve"> эффекта проводилась коррекция дозы </w:t>
      </w:r>
      <w:proofErr w:type="spellStart"/>
      <w:r w:rsidR="005E5A8D" w:rsidRPr="000F1636">
        <w:rPr>
          <w:sz w:val="28"/>
          <w:szCs w:val="28"/>
        </w:rPr>
        <w:t>омепразола</w:t>
      </w:r>
      <w:proofErr w:type="spellEnd"/>
      <w:r w:rsidR="005E5A8D" w:rsidRPr="000F1636">
        <w:rPr>
          <w:sz w:val="28"/>
          <w:szCs w:val="28"/>
        </w:rPr>
        <w:t xml:space="preserve"> до 60 мг в сутки. </w:t>
      </w:r>
      <w:r w:rsidR="00E127C0" w:rsidRPr="000F1636">
        <w:rPr>
          <w:sz w:val="28"/>
          <w:szCs w:val="28"/>
        </w:rPr>
        <w:t xml:space="preserve">Следует отметить, что у больных </w:t>
      </w:r>
      <w:r w:rsidR="005E5A8D" w:rsidRPr="000F1636">
        <w:rPr>
          <w:sz w:val="28"/>
          <w:szCs w:val="28"/>
        </w:rPr>
        <w:t>2</w:t>
      </w:r>
      <w:r w:rsidR="00E127C0" w:rsidRPr="000F1636">
        <w:rPr>
          <w:sz w:val="28"/>
          <w:szCs w:val="28"/>
        </w:rPr>
        <w:t xml:space="preserve">-й группы продолжительности периодов </w:t>
      </w:r>
      <w:proofErr w:type="spellStart"/>
      <w:r w:rsidR="00E127C0" w:rsidRPr="000F1636">
        <w:rPr>
          <w:sz w:val="28"/>
          <w:szCs w:val="28"/>
        </w:rPr>
        <w:t>рН</w:t>
      </w:r>
      <w:proofErr w:type="spellEnd"/>
      <w:r w:rsidR="00E127C0" w:rsidRPr="000F1636">
        <w:rPr>
          <w:sz w:val="28"/>
          <w:szCs w:val="28"/>
        </w:rPr>
        <w:t xml:space="preserve"> более 4,0 и 5,0 ед.</w:t>
      </w:r>
      <w:r w:rsidR="005E5A8D" w:rsidRPr="000F1636">
        <w:rPr>
          <w:sz w:val="28"/>
          <w:szCs w:val="28"/>
        </w:rPr>
        <w:t xml:space="preserve"> были значимо меньше, чем при </w:t>
      </w:r>
      <w:proofErr w:type="spellStart"/>
      <w:r w:rsidR="005E5A8D" w:rsidRPr="000F1636">
        <w:rPr>
          <w:sz w:val="28"/>
          <w:szCs w:val="28"/>
        </w:rPr>
        <w:t>неосложненном</w:t>
      </w:r>
      <w:proofErr w:type="spellEnd"/>
      <w:r w:rsidR="005E5A8D" w:rsidRPr="000F1636">
        <w:rPr>
          <w:sz w:val="28"/>
          <w:szCs w:val="28"/>
        </w:rPr>
        <w:t xml:space="preserve"> течении</w:t>
      </w:r>
      <w:r w:rsidR="00E127C0" w:rsidRPr="000F1636">
        <w:rPr>
          <w:sz w:val="28"/>
          <w:szCs w:val="28"/>
        </w:rPr>
        <w:t xml:space="preserve">, </w:t>
      </w:r>
      <w:r w:rsidR="005E5A8D" w:rsidRPr="000F1636">
        <w:rPr>
          <w:sz w:val="28"/>
          <w:szCs w:val="28"/>
        </w:rPr>
        <w:t>однако,</w:t>
      </w:r>
      <w:r w:rsidR="00E127C0" w:rsidRPr="000F1636">
        <w:rPr>
          <w:sz w:val="28"/>
          <w:szCs w:val="28"/>
        </w:rPr>
        <w:t xml:space="preserve"> являлись достаточными для проведения </w:t>
      </w:r>
      <w:proofErr w:type="spellStart"/>
      <w:r w:rsidR="00E127C0" w:rsidRPr="000F1636">
        <w:rPr>
          <w:sz w:val="28"/>
          <w:szCs w:val="28"/>
        </w:rPr>
        <w:t>эрадикации</w:t>
      </w:r>
      <w:proofErr w:type="spellEnd"/>
      <w:r w:rsidR="00E127C0" w:rsidRPr="000F1636">
        <w:rPr>
          <w:sz w:val="28"/>
          <w:szCs w:val="28"/>
        </w:rPr>
        <w:t>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При контрольной ЭГДС через 14 дней рубцевание язвы было </w:t>
      </w:r>
      <w:r w:rsidR="005E5A8D" w:rsidRPr="000F1636">
        <w:rPr>
          <w:sz w:val="28"/>
          <w:szCs w:val="28"/>
        </w:rPr>
        <w:t>отмечено</w:t>
      </w:r>
      <w:r w:rsidRPr="000F1636">
        <w:rPr>
          <w:sz w:val="28"/>
          <w:szCs w:val="28"/>
        </w:rPr>
        <w:t xml:space="preserve"> у 5</w:t>
      </w:r>
      <w:r w:rsidR="005E5A8D" w:rsidRPr="000F1636">
        <w:rPr>
          <w:sz w:val="28"/>
          <w:szCs w:val="28"/>
        </w:rPr>
        <w:t>6</w:t>
      </w:r>
      <w:r w:rsidRPr="000F1636">
        <w:rPr>
          <w:sz w:val="28"/>
          <w:szCs w:val="28"/>
        </w:rPr>
        <w:t xml:space="preserve"> (</w:t>
      </w:r>
      <w:r w:rsidR="005E5A8D" w:rsidRPr="000F1636">
        <w:rPr>
          <w:sz w:val="28"/>
          <w:szCs w:val="28"/>
        </w:rPr>
        <w:t>91,</w:t>
      </w:r>
      <w:r w:rsidRPr="000F1636">
        <w:rPr>
          <w:sz w:val="28"/>
          <w:szCs w:val="28"/>
        </w:rPr>
        <w:t xml:space="preserve">8%) больных ЯБДК с </w:t>
      </w:r>
      <w:proofErr w:type="spellStart"/>
      <w:r w:rsidRPr="000F1636">
        <w:rPr>
          <w:sz w:val="28"/>
          <w:szCs w:val="28"/>
        </w:rPr>
        <w:t>неосложненным</w:t>
      </w:r>
      <w:proofErr w:type="spellEnd"/>
      <w:r w:rsidRPr="000F1636">
        <w:rPr>
          <w:sz w:val="28"/>
          <w:szCs w:val="28"/>
        </w:rPr>
        <w:t xml:space="preserve"> течением и у 39 (75%</w:t>
      </w:r>
      <w:r w:rsidR="005E5A8D" w:rsidRPr="000F1636">
        <w:rPr>
          <w:sz w:val="28"/>
          <w:szCs w:val="28"/>
        </w:rPr>
        <w:t xml:space="preserve">; </w:t>
      </w:r>
      <w:proofErr w:type="gramStart"/>
      <w:r w:rsidR="009A62A5" w:rsidRPr="000F1636">
        <w:rPr>
          <w:sz w:val="28"/>
          <w:szCs w:val="28"/>
        </w:rPr>
        <w:t>р</w:t>
      </w:r>
      <w:proofErr w:type="gramEnd"/>
      <w:r w:rsidR="009D41C8" w:rsidRPr="000F1636">
        <w:rPr>
          <w:rFonts w:ascii="SymbolPS" w:hAnsi="SymbolPS"/>
          <w:color w:val="FF0000"/>
          <w:sz w:val="28"/>
          <w:szCs w:val="28"/>
          <w:vertAlign w:val="subscript"/>
        </w:rPr>
        <w:t></w:t>
      </w:r>
      <w:r w:rsidR="009D41C8" w:rsidRPr="000F1636">
        <w:rPr>
          <w:sz w:val="28"/>
          <w:szCs w:val="28"/>
          <w:vertAlign w:val="subscript"/>
        </w:rPr>
        <w:t>²</w:t>
      </w:r>
      <w:r w:rsidR="00B8494F" w:rsidRPr="000F1636">
        <w:rPr>
          <w:sz w:val="28"/>
          <w:szCs w:val="28"/>
        </w:rPr>
        <w:t xml:space="preserve"> &lt; </w:t>
      </w:r>
      <w:r w:rsidR="005E5A8D" w:rsidRPr="000F1636">
        <w:rPr>
          <w:sz w:val="28"/>
          <w:szCs w:val="28"/>
        </w:rPr>
        <w:t>0,05</w:t>
      </w:r>
      <w:r w:rsidRPr="000F1636">
        <w:rPr>
          <w:sz w:val="28"/>
          <w:szCs w:val="28"/>
        </w:rPr>
        <w:t xml:space="preserve">) </w:t>
      </w:r>
      <w:r w:rsidR="005E5A8D" w:rsidRPr="000F1636">
        <w:rPr>
          <w:sz w:val="28"/>
          <w:szCs w:val="28"/>
        </w:rPr>
        <w:t>пациентов</w:t>
      </w:r>
      <w:r w:rsidRPr="000F1636">
        <w:rPr>
          <w:sz w:val="28"/>
          <w:szCs w:val="28"/>
        </w:rPr>
        <w:t xml:space="preserve"> при осложненном течении</w:t>
      </w:r>
      <w:r w:rsidR="005E5A8D" w:rsidRPr="000F1636">
        <w:rPr>
          <w:sz w:val="28"/>
          <w:szCs w:val="28"/>
        </w:rPr>
        <w:t xml:space="preserve"> заболевания</w:t>
      </w:r>
      <w:r w:rsidRPr="000F1636">
        <w:rPr>
          <w:sz w:val="28"/>
          <w:szCs w:val="28"/>
        </w:rPr>
        <w:t>. При последующей эндоск</w:t>
      </w:r>
      <w:r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 xml:space="preserve">пии через 7 дней зарегистрировано полное рубцевание язвенного дефекта у </w:t>
      </w:r>
      <w:r w:rsidR="005E5A8D" w:rsidRPr="000F1636">
        <w:rPr>
          <w:sz w:val="28"/>
          <w:szCs w:val="28"/>
        </w:rPr>
        <w:t xml:space="preserve">всех </w:t>
      </w:r>
      <w:r w:rsidRPr="000F1636">
        <w:rPr>
          <w:sz w:val="28"/>
          <w:szCs w:val="28"/>
        </w:rPr>
        <w:t xml:space="preserve">больных с </w:t>
      </w:r>
      <w:proofErr w:type="spellStart"/>
      <w:r w:rsidRPr="000F1636">
        <w:rPr>
          <w:sz w:val="28"/>
          <w:szCs w:val="28"/>
        </w:rPr>
        <w:t>неосложненным</w:t>
      </w:r>
      <w:proofErr w:type="spellEnd"/>
      <w:r w:rsidRPr="000F1636">
        <w:rPr>
          <w:sz w:val="28"/>
          <w:szCs w:val="28"/>
        </w:rPr>
        <w:t xml:space="preserve"> течением ЯБДК</w:t>
      </w:r>
      <w:r w:rsidR="00D02A38" w:rsidRPr="000F1636">
        <w:rPr>
          <w:sz w:val="28"/>
          <w:szCs w:val="28"/>
        </w:rPr>
        <w:t xml:space="preserve">. При этом </w:t>
      </w:r>
      <w:r w:rsidRPr="000F1636">
        <w:rPr>
          <w:sz w:val="28"/>
          <w:szCs w:val="28"/>
        </w:rPr>
        <w:t>у 9 (17,3%) больных с перфорацией в анамнезе</w:t>
      </w:r>
      <w:r w:rsidR="00D02A38" w:rsidRPr="000F1636">
        <w:rPr>
          <w:sz w:val="28"/>
          <w:szCs w:val="28"/>
        </w:rPr>
        <w:t xml:space="preserve"> язва не зарубцевалась</w:t>
      </w:r>
      <w:r w:rsidRPr="000F1636">
        <w:rPr>
          <w:sz w:val="28"/>
          <w:szCs w:val="28"/>
        </w:rPr>
        <w:t xml:space="preserve">. Через </w:t>
      </w:r>
      <w:r w:rsidR="005E5A8D" w:rsidRPr="000F1636">
        <w:rPr>
          <w:sz w:val="28"/>
          <w:szCs w:val="28"/>
        </w:rPr>
        <w:t>28</w:t>
      </w:r>
      <w:r w:rsidRPr="000F1636">
        <w:rPr>
          <w:sz w:val="28"/>
          <w:szCs w:val="28"/>
        </w:rPr>
        <w:t xml:space="preserve"> дней с начала леч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>ния достигнуто полное рубцевание язвы</w:t>
      </w:r>
      <w:r w:rsidR="005E5A8D" w:rsidRPr="000F1636">
        <w:rPr>
          <w:sz w:val="28"/>
          <w:szCs w:val="28"/>
        </w:rPr>
        <w:t xml:space="preserve"> у </w:t>
      </w:r>
      <w:r w:rsidR="00D02A38" w:rsidRPr="000F1636">
        <w:rPr>
          <w:sz w:val="28"/>
          <w:szCs w:val="28"/>
        </w:rPr>
        <w:t xml:space="preserve">всех </w:t>
      </w:r>
      <w:r w:rsidR="005E5A8D" w:rsidRPr="000F1636">
        <w:rPr>
          <w:sz w:val="28"/>
          <w:szCs w:val="28"/>
        </w:rPr>
        <w:t>пациентов 2-й группы</w:t>
      </w:r>
      <w:r w:rsidRPr="000F1636">
        <w:rPr>
          <w:sz w:val="28"/>
          <w:szCs w:val="28"/>
        </w:rPr>
        <w:t>.</w:t>
      </w:r>
      <w:r w:rsidR="005E5A8D" w:rsidRPr="000F1636">
        <w:rPr>
          <w:sz w:val="28"/>
          <w:szCs w:val="28"/>
        </w:rPr>
        <w:t xml:space="preserve"> Средняя продолжительность рубцевания язвы в 1-й группе составила </w:t>
      </w:r>
      <w:r w:rsidR="008E5800" w:rsidRPr="000F1636">
        <w:rPr>
          <w:sz w:val="28"/>
          <w:szCs w:val="28"/>
        </w:rPr>
        <w:t>14,6</w:t>
      </w:r>
      <w:r w:rsidR="001441B6" w:rsidRPr="000F1636">
        <w:rPr>
          <w:sz w:val="28"/>
          <w:szCs w:val="28"/>
        </w:rPr>
        <w:t xml:space="preserve"> ± </w:t>
      </w:r>
      <w:r w:rsidR="008E5800" w:rsidRPr="000F1636">
        <w:rPr>
          <w:sz w:val="28"/>
          <w:szCs w:val="28"/>
        </w:rPr>
        <w:t xml:space="preserve">0,35 </w:t>
      </w:r>
      <w:r w:rsidR="005E5A8D" w:rsidRPr="000F1636">
        <w:rPr>
          <w:sz w:val="28"/>
          <w:szCs w:val="28"/>
        </w:rPr>
        <w:t xml:space="preserve">дня, а во 2-й – </w:t>
      </w:r>
      <w:r w:rsidR="008E5800" w:rsidRPr="000F1636">
        <w:rPr>
          <w:sz w:val="28"/>
          <w:szCs w:val="28"/>
        </w:rPr>
        <w:t>15,9</w:t>
      </w:r>
      <w:r w:rsidR="001441B6" w:rsidRPr="000F1636">
        <w:rPr>
          <w:sz w:val="28"/>
          <w:szCs w:val="28"/>
        </w:rPr>
        <w:t xml:space="preserve"> ± </w:t>
      </w:r>
      <w:r w:rsidR="008E5800" w:rsidRPr="000F1636">
        <w:rPr>
          <w:sz w:val="28"/>
          <w:szCs w:val="28"/>
        </w:rPr>
        <w:t xml:space="preserve">0,24 </w:t>
      </w:r>
      <w:r w:rsidR="005E5A8D" w:rsidRPr="000F1636">
        <w:rPr>
          <w:sz w:val="28"/>
          <w:szCs w:val="28"/>
        </w:rPr>
        <w:t>дня</w:t>
      </w:r>
      <w:r w:rsidR="008E5800" w:rsidRPr="000F1636">
        <w:rPr>
          <w:sz w:val="28"/>
          <w:szCs w:val="28"/>
        </w:rPr>
        <w:t xml:space="preserve"> (</w:t>
      </w:r>
      <w:proofErr w:type="spellStart"/>
      <w:proofErr w:type="gramStart"/>
      <w:r w:rsidR="008E5800" w:rsidRPr="000F1636">
        <w:rPr>
          <w:sz w:val="28"/>
          <w:szCs w:val="28"/>
        </w:rPr>
        <w:t>р</w:t>
      </w:r>
      <w:proofErr w:type="spellEnd"/>
      <w:proofErr w:type="gramEnd"/>
      <w:r w:rsidR="00B8494F" w:rsidRPr="000F1636">
        <w:rPr>
          <w:sz w:val="28"/>
          <w:szCs w:val="28"/>
        </w:rPr>
        <w:t xml:space="preserve"> &lt; </w:t>
      </w:r>
      <w:r w:rsidR="008E5800" w:rsidRPr="000F1636">
        <w:rPr>
          <w:sz w:val="28"/>
          <w:szCs w:val="28"/>
        </w:rPr>
        <w:t>0,05)</w:t>
      </w:r>
      <w:r w:rsidR="005E5A8D" w:rsidRPr="000F1636">
        <w:rPr>
          <w:sz w:val="28"/>
          <w:szCs w:val="28"/>
        </w:rPr>
        <w:t>.</w:t>
      </w:r>
    </w:p>
    <w:p w:rsidR="008E5800" w:rsidRPr="000F1636" w:rsidRDefault="008E580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Таким образом, </w:t>
      </w:r>
      <w:r w:rsidR="009A62A5" w:rsidRPr="000F1636">
        <w:rPr>
          <w:sz w:val="28"/>
          <w:szCs w:val="28"/>
        </w:rPr>
        <w:t>больные ЯБДК, перенесшие год и более назад перфор</w:t>
      </w:r>
      <w:r w:rsidR="009A62A5" w:rsidRPr="000F1636">
        <w:rPr>
          <w:sz w:val="28"/>
          <w:szCs w:val="28"/>
        </w:rPr>
        <w:t>а</w:t>
      </w:r>
      <w:r w:rsidR="009A62A5" w:rsidRPr="000F1636">
        <w:rPr>
          <w:sz w:val="28"/>
          <w:szCs w:val="28"/>
        </w:rPr>
        <w:t xml:space="preserve">цию язвы с последующим </w:t>
      </w:r>
      <w:proofErr w:type="spellStart"/>
      <w:r w:rsidR="009A62A5" w:rsidRPr="000F1636">
        <w:rPr>
          <w:sz w:val="28"/>
          <w:szCs w:val="28"/>
        </w:rPr>
        <w:t>ушиванием</w:t>
      </w:r>
      <w:proofErr w:type="spellEnd"/>
      <w:r w:rsidR="0075166F" w:rsidRPr="000F1636">
        <w:rPr>
          <w:sz w:val="28"/>
          <w:szCs w:val="28"/>
        </w:rPr>
        <w:t>,</w:t>
      </w:r>
      <w:r w:rsidR="009A62A5" w:rsidRPr="000F1636">
        <w:rPr>
          <w:sz w:val="28"/>
          <w:szCs w:val="28"/>
        </w:rPr>
        <w:t xml:space="preserve"> имели выраженные различия функци</w:t>
      </w:r>
      <w:r w:rsidR="009A62A5" w:rsidRPr="000F1636">
        <w:rPr>
          <w:sz w:val="28"/>
          <w:szCs w:val="28"/>
        </w:rPr>
        <w:t>о</w:t>
      </w:r>
      <w:r w:rsidR="009A62A5" w:rsidRPr="000F1636">
        <w:rPr>
          <w:sz w:val="28"/>
          <w:szCs w:val="28"/>
        </w:rPr>
        <w:t xml:space="preserve">нального статуса и ответа на стандартную терапию в </w:t>
      </w:r>
      <w:proofErr w:type="gramStart"/>
      <w:r w:rsidR="009A62A5" w:rsidRPr="000F1636">
        <w:rPr>
          <w:sz w:val="28"/>
          <w:szCs w:val="28"/>
        </w:rPr>
        <w:t>сравнении</w:t>
      </w:r>
      <w:proofErr w:type="gramEnd"/>
      <w:r w:rsidR="009A62A5" w:rsidRPr="000F1636">
        <w:rPr>
          <w:sz w:val="28"/>
          <w:szCs w:val="28"/>
        </w:rPr>
        <w:t xml:space="preserve"> с пациентами с </w:t>
      </w:r>
      <w:proofErr w:type="spellStart"/>
      <w:r w:rsidR="009A62A5" w:rsidRPr="000F1636">
        <w:rPr>
          <w:sz w:val="28"/>
          <w:szCs w:val="28"/>
        </w:rPr>
        <w:t>неосложненной</w:t>
      </w:r>
      <w:proofErr w:type="spellEnd"/>
      <w:r w:rsidR="009A62A5" w:rsidRPr="000F1636">
        <w:rPr>
          <w:sz w:val="28"/>
          <w:szCs w:val="28"/>
        </w:rPr>
        <w:t xml:space="preserve"> язвенной болезнью. </w:t>
      </w:r>
      <w:proofErr w:type="spellStart"/>
      <w:r w:rsidR="009A62A5" w:rsidRPr="000F1636">
        <w:rPr>
          <w:sz w:val="28"/>
          <w:szCs w:val="28"/>
        </w:rPr>
        <w:t>Фундальная</w:t>
      </w:r>
      <w:proofErr w:type="spellEnd"/>
      <w:r w:rsidR="009A62A5" w:rsidRPr="000F1636">
        <w:rPr>
          <w:sz w:val="28"/>
          <w:szCs w:val="28"/>
        </w:rPr>
        <w:t xml:space="preserve"> </w:t>
      </w:r>
      <w:proofErr w:type="spellStart"/>
      <w:r w:rsidR="009A62A5" w:rsidRPr="000F1636">
        <w:rPr>
          <w:sz w:val="28"/>
          <w:szCs w:val="28"/>
        </w:rPr>
        <w:t>гиперацидность</w:t>
      </w:r>
      <w:proofErr w:type="spellEnd"/>
      <w:r w:rsidR="009A62A5" w:rsidRPr="000F1636">
        <w:rPr>
          <w:sz w:val="28"/>
          <w:szCs w:val="28"/>
        </w:rPr>
        <w:t xml:space="preserve"> при осло</w:t>
      </w:r>
      <w:r w:rsidR="009A62A5" w:rsidRPr="000F1636">
        <w:rPr>
          <w:sz w:val="28"/>
          <w:szCs w:val="28"/>
        </w:rPr>
        <w:t>ж</w:t>
      </w:r>
      <w:r w:rsidR="009A62A5" w:rsidRPr="000F1636">
        <w:rPr>
          <w:sz w:val="28"/>
          <w:szCs w:val="28"/>
        </w:rPr>
        <w:t xml:space="preserve">ненном течении была выше, а </w:t>
      </w:r>
      <w:r w:rsidR="0015117E" w:rsidRPr="000F1636">
        <w:rPr>
          <w:sz w:val="28"/>
          <w:szCs w:val="28"/>
        </w:rPr>
        <w:t xml:space="preserve">продолжительность и высота ДГР, его </w:t>
      </w:r>
      <w:r w:rsidR="009A62A5" w:rsidRPr="000F1636">
        <w:rPr>
          <w:sz w:val="28"/>
          <w:szCs w:val="28"/>
        </w:rPr>
        <w:t>ощелач</w:t>
      </w:r>
      <w:r w:rsidR="009A62A5" w:rsidRPr="000F1636">
        <w:rPr>
          <w:sz w:val="28"/>
          <w:szCs w:val="28"/>
        </w:rPr>
        <w:t>и</w:t>
      </w:r>
      <w:r w:rsidR="009A62A5" w:rsidRPr="000F1636">
        <w:rPr>
          <w:sz w:val="28"/>
          <w:szCs w:val="28"/>
        </w:rPr>
        <w:t>вающ</w:t>
      </w:r>
      <w:r w:rsidR="0015117E" w:rsidRPr="000F1636">
        <w:rPr>
          <w:sz w:val="28"/>
          <w:szCs w:val="28"/>
        </w:rPr>
        <w:t>ее действие</w:t>
      </w:r>
      <w:r w:rsidR="009A62A5" w:rsidRPr="000F1636">
        <w:rPr>
          <w:sz w:val="28"/>
          <w:szCs w:val="28"/>
        </w:rPr>
        <w:t xml:space="preserve"> – существенно ниже, чем при доброкачественном течении з</w:t>
      </w:r>
      <w:r w:rsidR="009A62A5" w:rsidRPr="000F1636">
        <w:rPr>
          <w:sz w:val="28"/>
          <w:szCs w:val="28"/>
        </w:rPr>
        <w:t>а</w:t>
      </w:r>
      <w:r w:rsidR="009A62A5" w:rsidRPr="000F1636">
        <w:rPr>
          <w:sz w:val="28"/>
          <w:szCs w:val="28"/>
        </w:rPr>
        <w:t>болевания. Привлекает внимание тот факт, что на протяжении суток у больных, перенесших перфорацию, отмечена монотонность кислотообразования, ан</w:t>
      </w:r>
      <w:r w:rsidR="009A62A5" w:rsidRPr="000F1636">
        <w:rPr>
          <w:sz w:val="28"/>
          <w:szCs w:val="28"/>
        </w:rPr>
        <w:t>о</w:t>
      </w:r>
      <w:r w:rsidR="009A62A5" w:rsidRPr="000F1636">
        <w:rPr>
          <w:sz w:val="28"/>
          <w:szCs w:val="28"/>
        </w:rPr>
        <w:t xml:space="preserve">мальный ночной пик </w:t>
      </w:r>
      <w:proofErr w:type="spellStart"/>
      <w:r w:rsidR="009A62A5" w:rsidRPr="000F1636">
        <w:rPr>
          <w:sz w:val="28"/>
          <w:szCs w:val="28"/>
        </w:rPr>
        <w:t>закисления</w:t>
      </w:r>
      <w:proofErr w:type="spellEnd"/>
      <w:r w:rsidR="009A62A5" w:rsidRPr="000F1636">
        <w:rPr>
          <w:sz w:val="28"/>
          <w:szCs w:val="28"/>
        </w:rPr>
        <w:t xml:space="preserve"> </w:t>
      </w:r>
      <w:proofErr w:type="spellStart"/>
      <w:r w:rsidR="009A62A5" w:rsidRPr="000F1636">
        <w:rPr>
          <w:sz w:val="28"/>
          <w:szCs w:val="28"/>
        </w:rPr>
        <w:t>антрума</w:t>
      </w:r>
      <w:proofErr w:type="spellEnd"/>
      <w:r w:rsidR="009A62A5" w:rsidRPr="000F1636">
        <w:rPr>
          <w:sz w:val="28"/>
          <w:szCs w:val="28"/>
        </w:rPr>
        <w:t xml:space="preserve"> и отсутствие ночного усиления </w:t>
      </w:r>
      <w:proofErr w:type="spellStart"/>
      <w:r w:rsidR="009A62A5" w:rsidRPr="000F1636">
        <w:rPr>
          <w:sz w:val="28"/>
          <w:szCs w:val="28"/>
        </w:rPr>
        <w:t>ду</w:t>
      </w:r>
      <w:r w:rsidR="009A62A5" w:rsidRPr="000F1636">
        <w:rPr>
          <w:sz w:val="28"/>
          <w:szCs w:val="28"/>
        </w:rPr>
        <w:t>о</w:t>
      </w:r>
      <w:r w:rsidR="009A62A5" w:rsidRPr="000F1636">
        <w:rPr>
          <w:sz w:val="28"/>
          <w:szCs w:val="28"/>
        </w:rPr>
        <w:t>деногастрального</w:t>
      </w:r>
      <w:proofErr w:type="spellEnd"/>
      <w:r w:rsidR="009A62A5" w:rsidRPr="000F1636">
        <w:rPr>
          <w:sz w:val="28"/>
          <w:szCs w:val="28"/>
        </w:rPr>
        <w:t xml:space="preserve"> </w:t>
      </w:r>
      <w:proofErr w:type="spellStart"/>
      <w:r w:rsidR="009A62A5" w:rsidRPr="000F1636">
        <w:rPr>
          <w:sz w:val="28"/>
          <w:szCs w:val="28"/>
        </w:rPr>
        <w:t>рефлюкса</w:t>
      </w:r>
      <w:proofErr w:type="spellEnd"/>
      <w:r w:rsidR="009A62A5" w:rsidRPr="000F1636">
        <w:rPr>
          <w:sz w:val="28"/>
          <w:szCs w:val="28"/>
        </w:rPr>
        <w:t xml:space="preserve">. Это дает основания предположить, что высокая, монотонная и тотальная </w:t>
      </w:r>
      <w:proofErr w:type="spellStart"/>
      <w:r w:rsidR="009A62A5" w:rsidRPr="000F1636">
        <w:rPr>
          <w:sz w:val="28"/>
          <w:szCs w:val="28"/>
        </w:rPr>
        <w:t>гиперацидность</w:t>
      </w:r>
      <w:proofErr w:type="spellEnd"/>
      <w:r w:rsidR="009A62A5" w:rsidRPr="000F1636">
        <w:rPr>
          <w:sz w:val="28"/>
          <w:szCs w:val="28"/>
        </w:rPr>
        <w:t>, присущая этим пациентам, является не только и не столько результатом увеличения массы и функциональной а</w:t>
      </w:r>
      <w:r w:rsidR="009A62A5" w:rsidRPr="000F1636">
        <w:rPr>
          <w:sz w:val="28"/>
          <w:szCs w:val="28"/>
        </w:rPr>
        <w:t>к</w:t>
      </w:r>
      <w:r w:rsidR="009A62A5" w:rsidRPr="000F1636">
        <w:rPr>
          <w:sz w:val="28"/>
          <w:szCs w:val="28"/>
        </w:rPr>
        <w:t xml:space="preserve">тивности обкладочных клеток, но и следствием </w:t>
      </w:r>
      <w:proofErr w:type="spellStart"/>
      <w:r w:rsidR="009A62A5" w:rsidRPr="000F1636">
        <w:rPr>
          <w:sz w:val="28"/>
          <w:szCs w:val="28"/>
        </w:rPr>
        <w:t>десинхроноза</w:t>
      </w:r>
      <w:proofErr w:type="spellEnd"/>
      <w:r w:rsidR="009A62A5" w:rsidRPr="000F1636">
        <w:rPr>
          <w:sz w:val="28"/>
          <w:szCs w:val="28"/>
        </w:rPr>
        <w:t xml:space="preserve"> – врожденного или приобретенного нарушения нормальных циркадных ритмов кислотообр</w:t>
      </w:r>
      <w:r w:rsidR="009A62A5" w:rsidRPr="000F1636">
        <w:rPr>
          <w:sz w:val="28"/>
          <w:szCs w:val="28"/>
        </w:rPr>
        <w:t>а</w:t>
      </w:r>
      <w:r w:rsidR="009A62A5" w:rsidRPr="000F1636">
        <w:rPr>
          <w:sz w:val="28"/>
          <w:szCs w:val="28"/>
        </w:rPr>
        <w:t>зования и ощелачивания</w:t>
      </w:r>
      <w:r w:rsidR="005C26F3" w:rsidRPr="000F1636">
        <w:rPr>
          <w:sz w:val="28"/>
          <w:szCs w:val="28"/>
        </w:rPr>
        <w:t>. Наряду с этим, вероятно, присутствует нарушение к</w:t>
      </w:r>
      <w:r w:rsidR="005C26F3" w:rsidRPr="000F1636">
        <w:rPr>
          <w:sz w:val="28"/>
          <w:szCs w:val="28"/>
        </w:rPr>
        <w:t>о</w:t>
      </w:r>
      <w:r w:rsidR="005C26F3" w:rsidRPr="000F1636">
        <w:rPr>
          <w:sz w:val="28"/>
          <w:szCs w:val="28"/>
        </w:rPr>
        <w:t xml:space="preserve">ординации и взаиморегуляции </w:t>
      </w:r>
      <w:proofErr w:type="spellStart"/>
      <w:r w:rsidR="005C26F3" w:rsidRPr="000F1636">
        <w:rPr>
          <w:sz w:val="28"/>
          <w:szCs w:val="28"/>
        </w:rPr>
        <w:t>гастродуоденальной</w:t>
      </w:r>
      <w:proofErr w:type="spellEnd"/>
      <w:r w:rsidR="005C26F3" w:rsidRPr="000F1636">
        <w:rPr>
          <w:sz w:val="28"/>
          <w:szCs w:val="28"/>
        </w:rPr>
        <w:t xml:space="preserve"> зоны, приводящее к угнет</w:t>
      </w:r>
      <w:r w:rsidR="005C26F3" w:rsidRPr="000F1636">
        <w:rPr>
          <w:sz w:val="28"/>
          <w:szCs w:val="28"/>
        </w:rPr>
        <w:t>е</w:t>
      </w:r>
      <w:r w:rsidR="005C26F3" w:rsidRPr="000F1636">
        <w:rPr>
          <w:sz w:val="28"/>
          <w:szCs w:val="28"/>
        </w:rPr>
        <w:t xml:space="preserve">нию естественного ощелачивающего действия </w:t>
      </w:r>
      <w:proofErr w:type="spellStart"/>
      <w:r w:rsidR="005C26F3" w:rsidRPr="000F1636">
        <w:rPr>
          <w:sz w:val="28"/>
          <w:szCs w:val="28"/>
        </w:rPr>
        <w:t>рефлюкса</w:t>
      </w:r>
      <w:proofErr w:type="spellEnd"/>
      <w:r w:rsidR="005C26F3" w:rsidRPr="000F1636">
        <w:rPr>
          <w:sz w:val="28"/>
          <w:szCs w:val="28"/>
        </w:rPr>
        <w:t>.</w:t>
      </w:r>
    </w:p>
    <w:p w:rsidR="005C26F3" w:rsidRPr="000F1636" w:rsidRDefault="005C26F3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Результаты стандартной </w:t>
      </w:r>
      <w:proofErr w:type="spellStart"/>
      <w:r w:rsidRPr="000F1636">
        <w:rPr>
          <w:sz w:val="28"/>
          <w:szCs w:val="28"/>
        </w:rPr>
        <w:t>антисекреторной</w:t>
      </w:r>
      <w:proofErr w:type="spellEnd"/>
      <w:r w:rsidRPr="000F1636">
        <w:rPr>
          <w:sz w:val="28"/>
          <w:szCs w:val="28"/>
        </w:rPr>
        <w:t xml:space="preserve"> терапии </w:t>
      </w:r>
      <w:proofErr w:type="spellStart"/>
      <w:r w:rsidRPr="000F1636">
        <w:rPr>
          <w:sz w:val="28"/>
          <w:szCs w:val="28"/>
        </w:rPr>
        <w:t>генериками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омепраз</w:t>
      </w:r>
      <w:r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>ла</w:t>
      </w:r>
      <w:proofErr w:type="spellEnd"/>
      <w:r w:rsidRPr="000F1636">
        <w:rPr>
          <w:sz w:val="28"/>
          <w:szCs w:val="28"/>
        </w:rPr>
        <w:t xml:space="preserve"> и </w:t>
      </w:r>
      <w:proofErr w:type="spellStart"/>
      <w:r w:rsidRPr="000F1636">
        <w:rPr>
          <w:sz w:val="28"/>
          <w:szCs w:val="28"/>
        </w:rPr>
        <w:t>эрадикационной</w:t>
      </w:r>
      <w:proofErr w:type="spellEnd"/>
      <w:r w:rsidRPr="000F1636">
        <w:rPr>
          <w:sz w:val="28"/>
          <w:szCs w:val="28"/>
        </w:rPr>
        <w:t xml:space="preserve"> терапии при осложненном течении ЯБДК были достове</w:t>
      </w:r>
      <w:r w:rsidRPr="000F1636">
        <w:rPr>
          <w:sz w:val="28"/>
          <w:szCs w:val="28"/>
        </w:rPr>
        <w:t>р</w:t>
      </w:r>
      <w:r w:rsidRPr="000F1636">
        <w:rPr>
          <w:sz w:val="28"/>
          <w:szCs w:val="28"/>
        </w:rPr>
        <w:t>но ниже, чем при доброкачественном течении заболевания. Более часто регис</w:t>
      </w:r>
      <w:r w:rsidRPr="000F1636">
        <w:rPr>
          <w:sz w:val="28"/>
          <w:szCs w:val="28"/>
        </w:rPr>
        <w:t>т</w:t>
      </w:r>
      <w:r w:rsidRPr="000F1636">
        <w:rPr>
          <w:sz w:val="28"/>
          <w:szCs w:val="28"/>
        </w:rPr>
        <w:t xml:space="preserve">рировался недостаточный </w:t>
      </w:r>
      <w:proofErr w:type="spellStart"/>
      <w:r w:rsidRPr="000F1636">
        <w:rPr>
          <w:sz w:val="28"/>
          <w:szCs w:val="28"/>
        </w:rPr>
        <w:t>антисекреторный</w:t>
      </w:r>
      <w:proofErr w:type="spellEnd"/>
      <w:r w:rsidRPr="000F1636">
        <w:rPr>
          <w:sz w:val="28"/>
          <w:szCs w:val="28"/>
        </w:rPr>
        <w:t xml:space="preserve"> эффект, что закономерно сопров</w:t>
      </w:r>
      <w:r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>ждалось увеличением сроков рубцевания язвенного дефекта, а, следовательно, увеличением сроков госпитализации и/или временной нетрудоспособности.</w:t>
      </w:r>
    </w:p>
    <w:p w:rsidR="005C26F3" w:rsidRPr="000F1636" w:rsidRDefault="005C26F3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Следовательно, для больных ЯБДК, перенесших перфорацию язвы, х</w:t>
      </w:r>
      <w:r w:rsidRPr="000F1636">
        <w:rPr>
          <w:sz w:val="28"/>
          <w:szCs w:val="28"/>
        </w:rPr>
        <w:t>а</w:t>
      </w:r>
      <w:r w:rsidRPr="000F1636">
        <w:rPr>
          <w:sz w:val="28"/>
          <w:szCs w:val="28"/>
        </w:rPr>
        <w:t xml:space="preserve">рактерны существенные функциональные особенности, а также </w:t>
      </w:r>
      <w:proofErr w:type="spellStart"/>
      <w:r w:rsidRPr="000F1636">
        <w:rPr>
          <w:sz w:val="28"/>
          <w:szCs w:val="28"/>
        </w:rPr>
        <w:t>торпидность</w:t>
      </w:r>
      <w:proofErr w:type="spellEnd"/>
      <w:r w:rsidRPr="000F1636">
        <w:rPr>
          <w:sz w:val="28"/>
          <w:szCs w:val="28"/>
        </w:rPr>
        <w:t xml:space="preserve"> к стандартной </w:t>
      </w:r>
      <w:proofErr w:type="spellStart"/>
      <w:r w:rsidRPr="000F1636">
        <w:rPr>
          <w:sz w:val="28"/>
          <w:szCs w:val="28"/>
        </w:rPr>
        <w:t>противоязвенной</w:t>
      </w:r>
      <w:proofErr w:type="spellEnd"/>
      <w:r w:rsidRPr="000F1636">
        <w:rPr>
          <w:sz w:val="28"/>
          <w:szCs w:val="28"/>
        </w:rPr>
        <w:t xml:space="preserve"> терапии. </w:t>
      </w:r>
      <w:r w:rsidR="00B465F6" w:rsidRPr="000F1636">
        <w:rPr>
          <w:sz w:val="28"/>
          <w:szCs w:val="28"/>
        </w:rPr>
        <w:t xml:space="preserve">Необходимы дальнейшие исследования в </w:t>
      </w:r>
      <w:proofErr w:type="gramStart"/>
      <w:r w:rsidR="00B465F6" w:rsidRPr="000F1636">
        <w:rPr>
          <w:sz w:val="28"/>
          <w:szCs w:val="28"/>
        </w:rPr>
        <w:t>этом</w:t>
      </w:r>
      <w:proofErr w:type="gramEnd"/>
      <w:r w:rsidR="00B465F6" w:rsidRPr="000F1636">
        <w:rPr>
          <w:sz w:val="28"/>
          <w:szCs w:val="28"/>
        </w:rPr>
        <w:t xml:space="preserve"> направлении. </w:t>
      </w:r>
      <w:r w:rsidRPr="000F1636">
        <w:rPr>
          <w:sz w:val="28"/>
          <w:szCs w:val="28"/>
        </w:rPr>
        <w:t>Детальное изучение возможностей индивидуализации л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>чебных программ этих больных, несомненно, должн</w:t>
      </w:r>
      <w:r w:rsidR="00B465F6" w:rsidRPr="000F1636">
        <w:rPr>
          <w:sz w:val="28"/>
          <w:szCs w:val="28"/>
        </w:rPr>
        <w:t>о</w:t>
      </w:r>
      <w:r w:rsidRPr="000F1636">
        <w:rPr>
          <w:sz w:val="28"/>
          <w:szCs w:val="28"/>
        </w:rPr>
        <w:t xml:space="preserve"> способствовать улучш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>нию результатов лечения.</w:t>
      </w:r>
    </w:p>
    <w:p w:rsidR="001F5B2C" w:rsidRPr="000F1636" w:rsidRDefault="001F5B2C" w:rsidP="000F1636">
      <w:pPr>
        <w:ind w:firstLine="709"/>
        <w:jc w:val="both"/>
        <w:rPr>
          <w:sz w:val="28"/>
          <w:szCs w:val="28"/>
        </w:rPr>
      </w:pPr>
    </w:p>
    <w:p w:rsidR="00E127C0" w:rsidRPr="000F1636" w:rsidRDefault="00E127C0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Выводы</w:t>
      </w:r>
    </w:p>
    <w:p w:rsidR="008E5800" w:rsidRPr="000F1636" w:rsidRDefault="008E5800" w:rsidP="000F1636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Для больных ЯБДК, перенесших перфорацию язвы с последующим </w:t>
      </w:r>
      <w:proofErr w:type="spellStart"/>
      <w:r w:rsidRPr="000F1636">
        <w:rPr>
          <w:sz w:val="28"/>
          <w:szCs w:val="28"/>
        </w:rPr>
        <w:t>ушиванием</w:t>
      </w:r>
      <w:proofErr w:type="spellEnd"/>
      <w:r w:rsidRPr="000F1636">
        <w:rPr>
          <w:sz w:val="28"/>
          <w:szCs w:val="28"/>
        </w:rPr>
        <w:t xml:space="preserve">, </w:t>
      </w:r>
      <w:proofErr w:type="gramStart"/>
      <w:r w:rsidRPr="000F1636">
        <w:rPr>
          <w:sz w:val="28"/>
          <w:szCs w:val="28"/>
        </w:rPr>
        <w:t>характерна</w:t>
      </w:r>
      <w:proofErr w:type="gramEnd"/>
      <w:r w:rsidRPr="000F1636">
        <w:rPr>
          <w:sz w:val="28"/>
          <w:szCs w:val="28"/>
        </w:rPr>
        <w:t xml:space="preserve"> высокая и монотонная </w:t>
      </w:r>
      <w:proofErr w:type="spellStart"/>
      <w:r w:rsidRPr="000F1636">
        <w:rPr>
          <w:sz w:val="28"/>
          <w:szCs w:val="28"/>
        </w:rPr>
        <w:t>фундальная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гиперацидность</w:t>
      </w:r>
      <w:proofErr w:type="spellEnd"/>
      <w:r w:rsidRPr="000F1636">
        <w:rPr>
          <w:sz w:val="28"/>
          <w:szCs w:val="28"/>
        </w:rPr>
        <w:t xml:space="preserve"> в сочетании с выраженным угнетением </w:t>
      </w:r>
      <w:proofErr w:type="spellStart"/>
      <w:r w:rsidRPr="000F1636">
        <w:rPr>
          <w:sz w:val="28"/>
          <w:szCs w:val="28"/>
        </w:rPr>
        <w:t>дуоденогастрального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рефлюкса</w:t>
      </w:r>
      <w:proofErr w:type="spellEnd"/>
      <w:r w:rsidRPr="000F1636">
        <w:rPr>
          <w:sz w:val="28"/>
          <w:szCs w:val="28"/>
        </w:rPr>
        <w:t xml:space="preserve"> и тяж</w:t>
      </w:r>
      <w:r w:rsidRPr="000F1636">
        <w:rPr>
          <w:sz w:val="28"/>
          <w:szCs w:val="28"/>
        </w:rPr>
        <w:t>е</w:t>
      </w:r>
      <w:r w:rsidRPr="000F1636">
        <w:rPr>
          <w:sz w:val="28"/>
          <w:szCs w:val="28"/>
        </w:rPr>
        <w:t xml:space="preserve">лой декомпенсацией </w:t>
      </w:r>
      <w:proofErr w:type="spellStart"/>
      <w:r w:rsidRPr="000F1636">
        <w:rPr>
          <w:sz w:val="28"/>
          <w:szCs w:val="28"/>
        </w:rPr>
        <w:t>антрального</w:t>
      </w:r>
      <w:proofErr w:type="spellEnd"/>
      <w:r w:rsidRPr="000F1636">
        <w:rPr>
          <w:sz w:val="28"/>
          <w:szCs w:val="28"/>
        </w:rPr>
        <w:t xml:space="preserve"> ощелачивания.</w:t>
      </w:r>
    </w:p>
    <w:p w:rsidR="00E127C0" w:rsidRPr="000F1636" w:rsidRDefault="008E5800" w:rsidP="000F1636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0F1636">
        <w:rPr>
          <w:sz w:val="28"/>
          <w:szCs w:val="28"/>
        </w:rPr>
        <w:t xml:space="preserve">Стандартные дозы </w:t>
      </w:r>
      <w:proofErr w:type="spellStart"/>
      <w:r w:rsidRPr="000F1636">
        <w:rPr>
          <w:sz w:val="28"/>
          <w:szCs w:val="28"/>
        </w:rPr>
        <w:t>генериков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омепразола</w:t>
      </w:r>
      <w:proofErr w:type="spellEnd"/>
      <w:r w:rsidRPr="000F1636">
        <w:rPr>
          <w:sz w:val="28"/>
          <w:szCs w:val="28"/>
        </w:rPr>
        <w:t xml:space="preserve"> неэффективны у четверти больных с перфорацией в анамнезе, что сопровождается значимым</w:t>
      </w:r>
      <w:r w:rsidR="00E127C0" w:rsidRPr="000F1636">
        <w:rPr>
          <w:sz w:val="28"/>
          <w:szCs w:val="28"/>
        </w:rPr>
        <w:t xml:space="preserve"> увеличен</w:t>
      </w:r>
      <w:r w:rsidR="00E127C0"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>ем</w:t>
      </w:r>
      <w:r w:rsidR="00E127C0" w:rsidRPr="000F1636">
        <w:rPr>
          <w:sz w:val="28"/>
          <w:szCs w:val="28"/>
        </w:rPr>
        <w:t xml:space="preserve"> сроков рубцевания язв</w:t>
      </w:r>
      <w:r w:rsidRPr="000F1636">
        <w:rPr>
          <w:sz w:val="28"/>
          <w:szCs w:val="28"/>
        </w:rPr>
        <w:t>енного дефекта в данной группе</w:t>
      </w:r>
      <w:r w:rsidR="00E127C0" w:rsidRPr="000F1636">
        <w:rPr>
          <w:sz w:val="28"/>
          <w:szCs w:val="28"/>
        </w:rPr>
        <w:t>.</w:t>
      </w:r>
    </w:p>
    <w:p w:rsidR="0015117E" w:rsidRPr="000F1636" w:rsidRDefault="0015117E" w:rsidP="000F1636">
      <w:pPr>
        <w:ind w:firstLine="709"/>
        <w:jc w:val="both"/>
        <w:rPr>
          <w:sz w:val="28"/>
          <w:szCs w:val="28"/>
        </w:rPr>
      </w:pPr>
    </w:p>
    <w:p w:rsidR="00E127C0" w:rsidRPr="000F1636" w:rsidRDefault="00E127C0" w:rsidP="000F1636">
      <w:pPr>
        <w:ind w:firstLine="709"/>
        <w:jc w:val="both"/>
        <w:rPr>
          <w:b/>
          <w:sz w:val="28"/>
          <w:szCs w:val="28"/>
        </w:rPr>
      </w:pPr>
      <w:r w:rsidRPr="000F1636">
        <w:rPr>
          <w:b/>
          <w:sz w:val="28"/>
          <w:szCs w:val="28"/>
        </w:rPr>
        <w:t>Литература</w:t>
      </w:r>
    </w:p>
    <w:p w:rsidR="00E127C0" w:rsidRDefault="00E127C0" w:rsidP="000F1636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proofErr w:type="spellStart"/>
      <w:r w:rsidRPr="000F1636">
        <w:rPr>
          <w:i/>
          <w:sz w:val="28"/>
          <w:szCs w:val="28"/>
        </w:rPr>
        <w:t>Афенду</w:t>
      </w:r>
      <w:r w:rsidR="0096610E" w:rsidRPr="000F1636">
        <w:rPr>
          <w:i/>
          <w:sz w:val="28"/>
          <w:szCs w:val="28"/>
        </w:rPr>
        <w:t>лов</w:t>
      </w:r>
      <w:proofErr w:type="spellEnd"/>
      <w:r w:rsidRPr="000F1636">
        <w:rPr>
          <w:i/>
          <w:sz w:val="28"/>
          <w:szCs w:val="28"/>
        </w:rPr>
        <w:t xml:space="preserve"> С.А.</w:t>
      </w:r>
      <w:r w:rsidRPr="000F1636">
        <w:rPr>
          <w:sz w:val="28"/>
          <w:szCs w:val="28"/>
        </w:rPr>
        <w:t xml:space="preserve"> Лечение прободной язвы [Текст]</w:t>
      </w:r>
      <w:r w:rsidR="0096610E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 xml:space="preserve">/ С.А. </w:t>
      </w:r>
      <w:proofErr w:type="spellStart"/>
      <w:r w:rsidRPr="000F1636">
        <w:rPr>
          <w:sz w:val="28"/>
          <w:szCs w:val="28"/>
        </w:rPr>
        <w:t>Афендулов</w:t>
      </w:r>
      <w:proofErr w:type="spellEnd"/>
      <w:r w:rsidRPr="000F1636">
        <w:rPr>
          <w:sz w:val="28"/>
          <w:szCs w:val="28"/>
        </w:rPr>
        <w:t xml:space="preserve">, Г.Ю. Журавлев, Н.А. </w:t>
      </w:r>
      <w:proofErr w:type="spellStart"/>
      <w:r w:rsidRPr="000F1636">
        <w:rPr>
          <w:sz w:val="28"/>
          <w:szCs w:val="28"/>
        </w:rPr>
        <w:t>Краснолуцкий</w:t>
      </w:r>
      <w:proofErr w:type="spellEnd"/>
      <w:r w:rsidRPr="000F1636">
        <w:rPr>
          <w:sz w:val="28"/>
          <w:szCs w:val="28"/>
        </w:rPr>
        <w:t>.</w:t>
      </w:r>
      <w:r w:rsidR="00316882" w:rsidRPr="000F1636">
        <w:rPr>
          <w:sz w:val="28"/>
          <w:szCs w:val="28"/>
        </w:rPr>
        <w:t xml:space="preserve"> </w:t>
      </w:r>
      <w:r w:rsidR="00B8494F" w:rsidRPr="000F1636">
        <w:rPr>
          <w:sz w:val="28"/>
          <w:szCs w:val="28"/>
        </w:rPr>
        <w:t>–</w:t>
      </w:r>
      <w:r w:rsidRPr="000F1636">
        <w:rPr>
          <w:sz w:val="28"/>
          <w:szCs w:val="28"/>
        </w:rPr>
        <w:t xml:space="preserve"> М.: [б.и.], 2005.</w:t>
      </w:r>
      <w:r w:rsidR="00316882" w:rsidRPr="000F1636">
        <w:rPr>
          <w:sz w:val="28"/>
          <w:szCs w:val="28"/>
        </w:rPr>
        <w:t xml:space="preserve"> </w:t>
      </w:r>
      <w:r w:rsidR="00B8494F" w:rsidRPr="000F1636">
        <w:rPr>
          <w:sz w:val="28"/>
          <w:szCs w:val="28"/>
        </w:rPr>
        <w:t>–</w:t>
      </w:r>
      <w:r w:rsidR="00316882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166 с.</w:t>
      </w:r>
    </w:p>
    <w:p w:rsidR="008B55F6" w:rsidRDefault="008B55F6" w:rsidP="008B55F6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 w:rsidRPr="008B55F6">
        <w:rPr>
          <w:i/>
          <w:sz w:val="28"/>
          <w:szCs w:val="28"/>
        </w:rPr>
        <w:t>Волков В.С., Колесникова И.Ю.</w:t>
      </w:r>
      <w:r w:rsidRPr="008B55F6">
        <w:rPr>
          <w:sz w:val="28"/>
          <w:szCs w:val="28"/>
        </w:rPr>
        <w:t xml:space="preserve"> </w:t>
      </w:r>
      <w:proofErr w:type="spellStart"/>
      <w:r w:rsidRPr="008B55F6">
        <w:rPr>
          <w:sz w:val="28"/>
          <w:szCs w:val="28"/>
        </w:rPr>
        <w:t>Дуоденогастральный</w:t>
      </w:r>
      <w:proofErr w:type="spellEnd"/>
      <w:r w:rsidRPr="008B55F6">
        <w:rPr>
          <w:sz w:val="28"/>
          <w:szCs w:val="28"/>
        </w:rPr>
        <w:t xml:space="preserve"> </w:t>
      </w:r>
      <w:proofErr w:type="spellStart"/>
      <w:r w:rsidRPr="008B55F6">
        <w:rPr>
          <w:sz w:val="28"/>
          <w:szCs w:val="28"/>
        </w:rPr>
        <w:t>рефлюкс</w:t>
      </w:r>
      <w:proofErr w:type="spellEnd"/>
      <w:r w:rsidRPr="008B55F6">
        <w:rPr>
          <w:sz w:val="28"/>
          <w:szCs w:val="28"/>
        </w:rPr>
        <w:t xml:space="preserve"> и язвенная болезнь двенадцатиперстной кишки - расставим точки над </w:t>
      </w:r>
      <w:r w:rsidRPr="008B55F6">
        <w:rPr>
          <w:sz w:val="28"/>
          <w:szCs w:val="28"/>
        </w:rPr>
        <w:t>«I»</w:t>
      </w:r>
      <w:r w:rsidRPr="008B55F6">
        <w:rPr>
          <w:sz w:val="28"/>
          <w:szCs w:val="28"/>
        </w:rPr>
        <w:t xml:space="preserve"> // </w:t>
      </w:r>
      <w:r w:rsidRPr="008B55F6">
        <w:rPr>
          <w:sz w:val="28"/>
          <w:szCs w:val="28"/>
        </w:rPr>
        <w:t>Верхн</w:t>
      </w:r>
      <w:r w:rsidRPr="008B55F6">
        <w:rPr>
          <w:sz w:val="28"/>
          <w:szCs w:val="28"/>
        </w:rPr>
        <w:t>е</w:t>
      </w:r>
      <w:r w:rsidRPr="008B55F6">
        <w:rPr>
          <w:sz w:val="28"/>
          <w:szCs w:val="28"/>
        </w:rPr>
        <w:t xml:space="preserve">волжский медицинский журнал. </w:t>
      </w:r>
      <w:r>
        <w:rPr>
          <w:sz w:val="28"/>
          <w:szCs w:val="28"/>
        </w:rPr>
        <w:t>-</w:t>
      </w:r>
      <w:r w:rsidRPr="008B55F6">
        <w:rPr>
          <w:sz w:val="28"/>
          <w:szCs w:val="28"/>
        </w:rPr>
        <w:t xml:space="preserve">2010. </w:t>
      </w:r>
      <w:r>
        <w:rPr>
          <w:sz w:val="28"/>
          <w:szCs w:val="28"/>
        </w:rPr>
        <w:t>- Т. 8,</w:t>
      </w:r>
      <w:r w:rsidRPr="008B55F6">
        <w:rPr>
          <w:sz w:val="28"/>
          <w:szCs w:val="28"/>
        </w:rPr>
        <w:t xml:space="preserve"> № 1. </w:t>
      </w:r>
      <w:r>
        <w:rPr>
          <w:sz w:val="28"/>
          <w:szCs w:val="28"/>
        </w:rPr>
        <w:t xml:space="preserve">- </w:t>
      </w:r>
      <w:r w:rsidRPr="008B55F6">
        <w:rPr>
          <w:sz w:val="28"/>
          <w:szCs w:val="28"/>
        </w:rPr>
        <w:t>С. 26-29.</w:t>
      </w:r>
    </w:p>
    <w:p w:rsidR="00A60465" w:rsidRPr="00A60465" w:rsidRDefault="00A60465" w:rsidP="00A60465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 w:rsidRPr="00A60465">
        <w:rPr>
          <w:i/>
          <w:sz w:val="28"/>
          <w:szCs w:val="28"/>
        </w:rPr>
        <w:t xml:space="preserve">Волков В.С., Поселюгина О.Б., Нилова С.А., </w:t>
      </w:r>
      <w:proofErr w:type="spellStart"/>
      <w:r w:rsidRPr="00A60465">
        <w:rPr>
          <w:i/>
          <w:sz w:val="28"/>
          <w:szCs w:val="28"/>
        </w:rPr>
        <w:t>Роккина</w:t>
      </w:r>
      <w:proofErr w:type="spellEnd"/>
      <w:r w:rsidRPr="00A60465">
        <w:rPr>
          <w:i/>
          <w:sz w:val="28"/>
          <w:szCs w:val="28"/>
        </w:rPr>
        <w:t xml:space="preserve"> С.А.</w:t>
      </w:r>
      <w:r w:rsidRPr="00A60465">
        <w:rPr>
          <w:sz w:val="28"/>
          <w:szCs w:val="28"/>
        </w:rPr>
        <w:t xml:space="preserve"> </w:t>
      </w:r>
      <w:r w:rsidRPr="00A60465">
        <w:rPr>
          <w:sz w:val="28"/>
          <w:szCs w:val="28"/>
        </w:rPr>
        <w:t xml:space="preserve">К </w:t>
      </w:r>
      <w:r w:rsidRPr="00A60465">
        <w:rPr>
          <w:sz w:val="28"/>
          <w:szCs w:val="28"/>
        </w:rPr>
        <w:t>60-летию в</w:t>
      </w:r>
      <w:r w:rsidRPr="00A60465">
        <w:rPr>
          <w:sz w:val="28"/>
          <w:szCs w:val="28"/>
        </w:rPr>
        <w:t>ы</w:t>
      </w:r>
      <w:r w:rsidRPr="00A60465">
        <w:rPr>
          <w:sz w:val="28"/>
          <w:szCs w:val="28"/>
        </w:rPr>
        <w:t xml:space="preserve">хода в свет книги Г.Ф. </w:t>
      </w:r>
      <w:proofErr w:type="spellStart"/>
      <w:r w:rsidRPr="00A60465">
        <w:rPr>
          <w:sz w:val="28"/>
          <w:szCs w:val="28"/>
        </w:rPr>
        <w:t>Ланга</w:t>
      </w:r>
      <w:proofErr w:type="spellEnd"/>
      <w:r w:rsidRPr="00A60465">
        <w:rPr>
          <w:sz w:val="28"/>
          <w:szCs w:val="28"/>
        </w:rPr>
        <w:t xml:space="preserve"> «Гипертоническая болезнь» //</w:t>
      </w:r>
      <w:r>
        <w:rPr>
          <w:sz w:val="28"/>
          <w:szCs w:val="28"/>
        </w:rPr>
        <w:t xml:space="preserve"> </w:t>
      </w:r>
      <w:r w:rsidRPr="00A60465">
        <w:rPr>
          <w:sz w:val="28"/>
          <w:szCs w:val="28"/>
        </w:rPr>
        <w:t>Верхневол</w:t>
      </w:r>
      <w:r w:rsidRPr="00A60465">
        <w:rPr>
          <w:sz w:val="28"/>
          <w:szCs w:val="28"/>
        </w:rPr>
        <w:t>ж</w:t>
      </w:r>
      <w:r w:rsidRPr="00A60465">
        <w:rPr>
          <w:sz w:val="28"/>
          <w:szCs w:val="28"/>
        </w:rPr>
        <w:t xml:space="preserve">ский медицинский журнал. </w:t>
      </w:r>
      <w:r>
        <w:rPr>
          <w:sz w:val="28"/>
          <w:szCs w:val="28"/>
        </w:rPr>
        <w:t xml:space="preserve">- </w:t>
      </w:r>
      <w:r w:rsidRPr="00A60465">
        <w:rPr>
          <w:sz w:val="28"/>
          <w:szCs w:val="28"/>
        </w:rPr>
        <w:t xml:space="preserve">2010. </w:t>
      </w:r>
      <w:r>
        <w:rPr>
          <w:sz w:val="28"/>
          <w:szCs w:val="28"/>
        </w:rPr>
        <w:t xml:space="preserve">- </w:t>
      </w:r>
      <w:r w:rsidRPr="00A60465">
        <w:rPr>
          <w:sz w:val="28"/>
          <w:szCs w:val="28"/>
        </w:rPr>
        <w:t>Т. 8. № 2.</w:t>
      </w:r>
      <w:r>
        <w:rPr>
          <w:sz w:val="28"/>
          <w:szCs w:val="28"/>
        </w:rPr>
        <w:t xml:space="preserve"> -</w:t>
      </w:r>
      <w:r w:rsidRPr="00A60465">
        <w:rPr>
          <w:sz w:val="28"/>
          <w:szCs w:val="28"/>
        </w:rPr>
        <w:t xml:space="preserve"> С. 17-20.</w:t>
      </w:r>
    </w:p>
    <w:p w:rsidR="00E127C0" w:rsidRPr="000F1636" w:rsidRDefault="0096610E" w:rsidP="000F1636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proofErr w:type="spellStart"/>
      <w:r w:rsidRPr="000F1636">
        <w:rPr>
          <w:i/>
          <w:sz w:val="28"/>
          <w:szCs w:val="28"/>
        </w:rPr>
        <w:t>Гостищев</w:t>
      </w:r>
      <w:proofErr w:type="spellEnd"/>
      <w:r w:rsidR="00316882" w:rsidRPr="000F1636">
        <w:rPr>
          <w:i/>
          <w:sz w:val="28"/>
          <w:szCs w:val="28"/>
        </w:rPr>
        <w:t xml:space="preserve"> </w:t>
      </w:r>
      <w:r w:rsidR="00E127C0" w:rsidRPr="000F1636">
        <w:rPr>
          <w:i/>
          <w:sz w:val="28"/>
          <w:szCs w:val="28"/>
        </w:rPr>
        <w:t>В.К.</w:t>
      </w:r>
      <w:r w:rsidR="00E127C0" w:rsidRPr="000F1636">
        <w:rPr>
          <w:sz w:val="28"/>
          <w:szCs w:val="28"/>
        </w:rPr>
        <w:t xml:space="preserve"> </w:t>
      </w:r>
      <w:proofErr w:type="spellStart"/>
      <w:r w:rsidR="00E127C0" w:rsidRPr="000F1636">
        <w:rPr>
          <w:sz w:val="28"/>
          <w:szCs w:val="28"/>
        </w:rPr>
        <w:t>Перфоративные</w:t>
      </w:r>
      <w:proofErr w:type="spellEnd"/>
      <w:r w:rsidR="00E127C0" w:rsidRPr="000F1636">
        <w:rPr>
          <w:sz w:val="28"/>
          <w:szCs w:val="28"/>
        </w:rPr>
        <w:t xml:space="preserve"> </w:t>
      </w:r>
      <w:proofErr w:type="spellStart"/>
      <w:r w:rsidR="00E127C0" w:rsidRPr="000F1636">
        <w:rPr>
          <w:sz w:val="28"/>
          <w:szCs w:val="28"/>
        </w:rPr>
        <w:t>гастродуоденальные</w:t>
      </w:r>
      <w:proofErr w:type="spellEnd"/>
      <w:r w:rsidR="00E127C0" w:rsidRPr="000F1636">
        <w:rPr>
          <w:sz w:val="28"/>
          <w:szCs w:val="28"/>
        </w:rPr>
        <w:t xml:space="preserve"> язвы: взгляд на пр</w:t>
      </w:r>
      <w:r w:rsidR="00E127C0" w:rsidRPr="000F1636">
        <w:rPr>
          <w:sz w:val="28"/>
          <w:szCs w:val="28"/>
        </w:rPr>
        <w:t>о</w:t>
      </w:r>
      <w:r w:rsidR="00E127C0" w:rsidRPr="000F1636">
        <w:rPr>
          <w:sz w:val="28"/>
          <w:szCs w:val="28"/>
        </w:rPr>
        <w:t xml:space="preserve">блему [Текст]/ В.К. </w:t>
      </w:r>
      <w:proofErr w:type="spellStart"/>
      <w:r w:rsidR="00E127C0" w:rsidRPr="000F1636">
        <w:rPr>
          <w:sz w:val="28"/>
          <w:szCs w:val="28"/>
        </w:rPr>
        <w:t>Гостищев</w:t>
      </w:r>
      <w:proofErr w:type="spellEnd"/>
      <w:r w:rsidR="00E127C0" w:rsidRPr="000F1636">
        <w:rPr>
          <w:sz w:val="28"/>
          <w:szCs w:val="28"/>
        </w:rPr>
        <w:t>, М.А. Евсеев, Р.А. Головин</w:t>
      </w:r>
      <w:r w:rsidRPr="000F1636">
        <w:rPr>
          <w:sz w:val="28"/>
          <w:szCs w:val="28"/>
        </w:rPr>
        <w:t xml:space="preserve"> </w:t>
      </w:r>
      <w:r w:rsidR="00E127C0" w:rsidRPr="000F1636">
        <w:rPr>
          <w:sz w:val="28"/>
          <w:szCs w:val="28"/>
        </w:rPr>
        <w:t>// Русский м</w:t>
      </w:r>
      <w:r w:rsidR="00E127C0" w:rsidRPr="000F1636">
        <w:rPr>
          <w:sz w:val="28"/>
          <w:szCs w:val="28"/>
        </w:rPr>
        <w:t>е</w:t>
      </w:r>
      <w:r w:rsidR="00E127C0" w:rsidRPr="000F1636">
        <w:rPr>
          <w:sz w:val="28"/>
          <w:szCs w:val="28"/>
        </w:rPr>
        <w:t>дицинский журнал.</w:t>
      </w:r>
      <w:r w:rsidR="00B8494F" w:rsidRPr="000F1636">
        <w:rPr>
          <w:sz w:val="28"/>
          <w:szCs w:val="28"/>
        </w:rPr>
        <w:t xml:space="preserve"> –</w:t>
      </w:r>
      <w:r w:rsidR="00E127C0" w:rsidRPr="000F1636">
        <w:rPr>
          <w:sz w:val="28"/>
          <w:szCs w:val="28"/>
        </w:rPr>
        <w:t xml:space="preserve"> 2005.</w:t>
      </w:r>
      <w:r w:rsidR="00B8494F" w:rsidRPr="000F1636">
        <w:rPr>
          <w:sz w:val="28"/>
          <w:szCs w:val="28"/>
        </w:rPr>
        <w:t xml:space="preserve"> –</w:t>
      </w:r>
      <w:r w:rsidR="00E127C0" w:rsidRPr="000F1636">
        <w:rPr>
          <w:sz w:val="28"/>
          <w:szCs w:val="28"/>
        </w:rPr>
        <w:t xml:space="preserve"> Т. 13, №</w:t>
      </w:r>
      <w:r w:rsidRPr="000F1636">
        <w:rPr>
          <w:sz w:val="28"/>
          <w:szCs w:val="28"/>
        </w:rPr>
        <w:t> </w:t>
      </w:r>
      <w:r w:rsidR="00E127C0" w:rsidRPr="000F1636">
        <w:rPr>
          <w:sz w:val="28"/>
          <w:szCs w:val="28"/>
        </w:rPr>
        <w:t>25. – С. 156–162.</w:t>
      </w:r>
    </w:p>
    <w:p w:rsidR="00316882" w:rsidRPr="000F1636" w:rsidRDefault="00316882" w:rsidP="000F1636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 w:rsidRPr="000F1636">
        <w:rPr>
          <w:i/>
          <w:sz w:val="28"/>
          <w:szCs w:val="28"/>
        </w:rPr>
        <w:t>Евсеев М.А.</w:t>
      </w:r>
      <w:r w:rsidRPr="000F1636">
        <w:rPr>
          <w:sz w:val="28"/>
          <w:szCs w:val="28"/>
        </w:rPr>
        <w:t xml:space="preserve"> Стратегия </w:t>
      </w:r>
      <w:proofErr w:type="spellStart"/>
      <w:r w:rsidRPr="000F1636">
        <w:rPr>
          <w:sz w:val="28"/>
          <w:szCs w:val="28"/>
        </w:rPr>
        <w:t>антисекреторной</w:t>
      </w:r>
      <w:proofErr w:type="spellEnd"/>
      <w:r w:rsidRPr="000F1636">
        <w:rPr>
          <w:sz w:val="28"/>
          <w:szCs w:val="28"/>
        </w:rPr>
        <w:t xml:space="preserve"> терапии</w:t>
      </w:r>
      <w:r w:rsidR="0023356D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у больных с кровоточ</w:t>
      </w:r>
      <w:r w:rsidRPr="000F1636">
        <w:rPr>
          <w:sz w:val="28"/>
          <w:szCs w:val="28"/>
        </w:rPr>
        <w:t>а</w:t>
      </w:r>
      <w:r w:rsidRPr="000F1636">
        <w:rPr>
          <w:sz w:val="28"/>
          <w:szCs w:val="28"/>
        </w:rPr>
        <w:t xml:space="preserve">щими и </w:t>
      </w:r>
      <w:proofErr w:type="spellStart"/>
      <w:r w:rsidRPr="000F1636">
        <w:rPr>
          <w:sz w:val="28"/>
          <w:szCs w:val="28"/>
        </w:rPr>
        <w:t>перфоративными</w:t>
      </w:r>
      <w:proofErr w:type="spellEnd"/>
      <w:r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гастродуоденальными</w:t>
      </w:r>
      <w:proofErr w:type="spellEnd"/>
      <w:r w:rsidRPr="000F1636">
        <w:rPr>
          <w:sz w:val="28"/>
          <w:szCs w:val="28"/>
        </w:rPr>
        <w:t xml:space="preserve"> язвами [Текст]</w:t>
      </w:r>
      <w:r w:rsidR="0096610E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/ М.А. Е</w:t>
      </w:r>
      <w:r w:rsidRPr="000F1636">
        <w:rPr>
          <w:sz w:val="28"/>
          <w:szCs w:val="28"/>
        </w:rPr>
        <w:t>в</w:t>
      </w:r>
      <w:r w:rsidRPr="000F1636">
        <w:rPr>
          <w:sz w:val="28"/>
          <w:szCs w:val="28"/>
        </w:rPr>
        <w:t>сеев, Г.Б. Иванов, Р.А. Головин</w:t>
      </w:r>
      <w:r w:rsidR="0096610E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//</w:t>
      </w:r>
      <w:r w:rsidR="0096610E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 xml:space="preserve">Хирургия. Журнал им. Н.И. Пирогова. </w:t>
      </w:r>
      <w:r w:rsidR="00B8494F" w:rsidRPr="000F1636">
        <w:rPr>
          <w:sz w:val="28"/>
          <w:szCs w:val="28"/>
        </w:rPr>
        <w:t>–</w:t>
      </w:r>
      <w:r w:rsidRPr="000F1636">
        <w:rPr>
          <w:sz w:val="28"/>
          <w:szCs w:val="28"/>
        </w:rPr>
        <w:t xml:space="preserve"> 2009. </w:t>
      </w:r>
      <w:r w:rsidR="00B8494F" w:rsidRPr="000F1636">
        <w:rPr>
          <w:sz w:val="28"/>
          <w:szCs w:val="28"/>
        </w:rPr>
        <w:t>–</w:t>
      </w:r>
      <w:r w:rsidRPr="000F1636">
        <w:rPr>
          <w:sz w:val="28"/>
          <w:szCs w:val="28"/>
        </w:rPr>
        <w:t xml:space="preserve"> №</w:t>
      </w:r>
      <w:r w:rsidR="0096610E" w:rsidRPr="000F1636">
        <w:rPr>
          <w:sz w:val="28"/>
          <w:szCs w:val="28"/>
        </w:rPr>
        <w:t> </w:t>
      </w:r>
      <w:r w:rsidRPr="000F1636">
        <w:rPr>
          <w:sz w:val="28"/>
          <w:szCs w:val="28"/>
        </w:rPr>
        <w:t xml:space="preserve">3. </w:t>
      </w:r>
      <w:r w:rsidR="00B8494F" w:rsidRPr="000F1636">
        <w:rPr>
          <w:sz w:val="28"/>
          <w:szCs w:val="28"/>
        </w:rPr>
        <w:t>–</w:t>
      </w:r>
      <w:r w:rsidRPr="000F1636">
        <w:rPr>
          <w:sz w:val="28"/>
          <w:szCs w:val="28"/>
        </w:rPr>
        <w:t xml:space="preserve"> С.</w:t>
      </w:r>
      <w:r w:rsidR="0023356D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46</w:t>
      </w:r>
      <w:r w:rsidR="0023356D" w:rsidRPr="000F1636">
        <w:rPr>
          <w:sz w:val="28"/>
          <w:szCs w:val="28"/>
        </w:rPr>
        <w:t>–</w:t>
      </w:r>
      <w:r w:rsidRPr="000F1636">
        <w:rPr>
          <w:sz w:val="28"/>
          <w:szCs w:val="28"/>
        </w:rPr>
        <w:t>52.</w:t>
      </w:r>
    </w:p>
    <w:p w:rsidR="00316882" w:rsidRPr="000F1636" w:rsidRDefault="00316882" w:rsidP="000F16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636">
        <w:rPr>
          <w:rFonts w:ascii="Times New Roman" w:hAnsi="Times New Roman"/>
          <w:i/>
          <w:sz w:val="28"/>
          <w:szCs w:val="28"/>
        </w:rPr>
        <w:t>Лечение</w:t>
      </w:r>
      <w:r w:rsidRPr="000F1636">
        <w:rPr>
          <w:rFonts w:ascii="Times New Roman" w:hAnsi="Times New Roman"/>
          <w:sz w:val="28"/>
          <w:szCs w:val="28"/>
        </w:rPr>
        <w:t xml:space="preserve"> больных с </w:t>
      </w:r>
      <w:proofErr w:type="spellStart"/>
      <w:r w:rsidRPr="000F1636">
        <w:rPr>
          <w:rFonts w:ascii="Times New Roman" w:hAnsi="Times New Roman"/>
          <w:sz w:val="28"/>
          <w:szCs w:val="28"/>
        </w:rPr>
        <w:t>перфоративными</w:t>
      </w:r>
      <w:proofErr w:type="spellEnd"/>
      <w:r w:rsidRPr="000F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1636">
        <w:rPr>
          <w:rFonts w:ascii="Times New Roman" w:hAnsi="Times New Roman"/>
          <w:sz w:val="28"/>
          <w:szCs w:val="28"/>
        </w:rPr>
        <w:t>пилородуоденальными</w:t>
      </w:r>
      <w:proofErr w:type="spellEnd"/>
      <w:r w:rsidRPr="000F1636">
        <w:rPr>
          <w:rFonts w:ascii="Times New Roman" w:hAnsi="Times New Roman"/>
          <w:sz w:val="28"/>
          <w:szCs w:val="28"/>
        </w:rPr>
        <w:t xml:space="preserve"> язвами [Текст]</w:t>
      </w:r>
      <w:r w:rsidR="0096610E" w:rsidRPr="000F1636">
        <w:rPr>
          <w:rFonts w:ascii="Times New Roman" w:hAnsi="Times New Roman"/>
          <w:sz w:val="28"/>
          <w:szCs w:val="28"/>
        </w:rPr>
        <w:t xml:space="preserve"> </w:t>
      </w:r>
      <w:r w:rsidRPr="000F1636">
        <w:rPr>
          <w:rFonts w:ascii="Times New Roman" w:hAnsi="Times New Roman"/>
          <w:sz w:val="28"/>
          <w:szCs w:val="28"/>
        </w:rPr>
        <w:t xml:space="preserve">/ Н. С. </w:t>
      </w:r>
      <w:proofErr w:type="spellStart"/>
      <w:r w:rsidRPr="000F1636">
        <w:rPr>
          <w:rFonts w:ascii="Times New Roman" w:hAnsi="Times New Roman"/>
          <w:sz w:val="28"/>
          <w:szCs w:val="28"/>
        </w:rPr>
        <w:t>Утешев</w:t>
      </w:r>
      <w:proofErr w:type="spellEnd"/>
      <w:r w:rsidR="0023356D" w:rsidRPr="000F1636">
        <w:rPr>
          <w:rFonts w:ascii="Times New Roman" w:hAnsi="Times New Roman"/>
          <w:sz w:val="28"/>
          <w:szCs w:val="28"/>
        </w:rPr>
        <w:t xml:space="preserve"> </w:t>
      </w:r>
      <w:r w:rsidRPr="000F1636">
        <w:rPr>
          <w:rFonts w:ascii="Times New Roman" w:hAnsi="Times New Roman"/>
          <w:sz w:val="28"/>
          <w:szCs w:val="28"/>
        </w:rPr>
        <w:t>[и др.]</w:t>
      </w:r>
      <w:r w:rsidR="0096610E" w:rsidRPr="000F1636">
        <w:rPr>
          <w:rFonts w:ascii="Times New Roman" w:hAnsi="Times New Roman"/>
          <w:sz w:val="28"/>
          <w:szCs w:val="28"/>
        </w:rPr>
        <w:t xml:space="preserve"> </w:t>
      </w:r>
      <w:r w:rsidRPr="000F1636">
        <w:rPr>
          <w:rFonts w:ascii="Times New Roman" w:hAnsi="Times New Roman"/>
          <w:sz w:val="28"/>
          <w:szCs w:val="28"/>
        </w:rPr>
        <w:t xml:space="preserve">// Хирургия. Журнал им. Н.И. Пирогова. </w:t>
      </w:r>
      <w:r w:rsidR="00B8494F" w:rsidRPr="000F1636">
        <w:rPr>
          <w:rFonts w:ascii="Times New Roman" w:hAnsi="Times New Roman"/>
          <w:sz w:val="28"/>
          <w:szCs w:val="28"/>
        </w:rPr>
        <w:t>–</w:t>
      </w:r>
      <w:r w:rsidRPr="000F1636">
        <w:rPr>
          <w:rFonts w:ascii="Times New Roman" w:hAnsi="Times New Roman"/>
          <w:sz w:val="28"/>
          <w:szCs w:val="28"/>
        </w:rPr>
        <w:t xml:space="preserve"> 2003. – №</w:t>
      </w:r>
      <w:r w:rsidR="0096610E" w:rsidRPr="000F1636">
        <w:rPr>
          <w:rFonts w:ascii="Times New Roman" w:hAnsi="Times New Roman"/>
          <w:sz w:val="28"/>
          <w:szCs w:val="28"/>
        </w:rPr>
        <w:t> </w:t>
      </w:r>
      <w:r w:rsidRPr="000F1636">
        <w:rPr>
          <w:rFonts w:ascii="Times New Roman" w:hAnsi="Times New Roman"/>
          <w:sz w:val="28"/>
          <w:szCs w:val="28"/>
        </w:rPr>
        <w:t>12. – С. 48–51.</w:t>
      </w:r>
    </w:p>
    <w:p w:rsidR="00E127C0" w:rsidRPr="000F1636" w:rsidRDefault="00E127C0" w:rsidP="000F16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636">
        <w:rPr>
          <w:rFonts w:ascii="Times New Roman" w:hAnsi="Times New Roman"/>
          <w:i/>
          <w:sz w:val="28"/>
          <w:szCs w:val="28"/>
        </w:rPr>
        <w:t>Стандарты.</w:t>
      </w:r>
      <w:r w:rsidRPr="000F1636">
        <w:rPr>
          <w:rFonts w:ascii="Times New Roman" w:hAnsi="Times New Roman"/>
          <w:sz w:val="28"/>
          <w:szCs w:val="28"/>
        </w:rPr>
        <w:t xml:space="preserve"> Диагностика и терапия </w:t>
      </w:r>
      <w:proofErr w:type="spellStart"/>
      <w:r w:rsidRPr="000F1636">
        <w:rPr>
          <w:rFonts w:ascii="Times New Roman" w:hAnsi="Times New Roman"/>
          <w:sz w:val="28"/>
          <w:szCs w:val="28"/>
        </w:rPr>
        <w:t>кислотозависимых</w:t>
      </w:r>
      <w:proofErr w:type="spellEnd"/>
      <w:r w:rsidRPr="000F1636">
        <w:rPr>
          <w:rFonts w:ascii="Times New Roman" w:hAnsi="Times New Roman"/>
          <w:sz w:val="28"/>
          <w:szCs w:val="28"/>
        </w:rPr>
        <w:t xml:space="preserve"> заболеваний, в том числе ассоциированных с </w:t>
      </w:r>
      <w:proofErr w:type="spellStart"/>
      <w:r w:rsidRPr="000F1636">
        <w:rPr>
          <w:rFonts w:ascii="Times New Roman" w:hAnsi="Times New Roman"/>
          <w:i/>
          <w:sz w:val="28"/>
          <w:szCs w:val="28"/>
        </w:rPr>
        <w:t>Helicobacter</w:t>
      </w:r>
      <w:proofErr w:type="spellEnd"/>
      <w:r w:rsidRPr="000F163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F1636">
        <w:rPr>
          <w:rFonts w:ascii="Times New Roman" w:hAnsi="Times New Roman"/>
          <w:i/>
          <w:sz w:val="28"/>
          <w:szCs w:val="28"/>
        </w:rPr>
        <w:t>pylori</w:t>
      </w:r>
      <w:proofErr w:type="spellEnd"/>
      <w:r w:rsidRPr="000F1636">
        <w:rPr>
          <w:rFonts w:ascii="Times New Roman" w:hAnsi="Times New Roman"/>
          <w:sz w:val="28"/>
          <w:szCs w:val="28"/>
        </w:rPr>
        <w:t xml:space="preserve"> (Третье Московское с</w:t>
      </w:r>
      <w:r w:rsidRPr="000F1636">
        <w:rPr>
          <w:rFonts w:ascii="Times New Roman" w:hAnsi="Times New Roman"/>
          <w:sz w:val="28"/>
          <w:szCs w:val="28"/>
        </w:rPr>
        <w:t>о</w:t>
      </w:r>
      <w:r w:rsidRPr="000F1636">
        <w:rPr>
          <w:rFonts w:ascii="Times New Roman" w:hAnsi="Times New Roman"/>
          <w:sz w:val="28"/>
          <w:szCs w:val="28"/>
        </w:rPr>
        <w:t xml:space="preserve">глашение, 4 февраля </w:t>
      </w:r>
      <w:smartTag w:uri="urn:schemas-microsoft-com:office:smarttags" w:element="metricconverter">
        <w:smartTagPr>
          <w:attr w:name="ProductID" w:val="2005 г"/>
        </w:smartTagPr>
        <w:r w:rsidRPr="000F1636">
          <w:rPr>
            <w:rFonts w:ascii="Times New Roman" w:hAnsi="Times New Roman"/>
            <w:sz w:val="28"/>
            <w:szCs w:val="28"/>
          </w:rPr>
          <w:t>2005 г</w:t>
        </w:r>
      </w:smartTag>
      <w:r w:rsidRPr="000F1636">
        <w:rPr>
          <w:rFonts w:ascii="Times New Roman" w:hAnsi="Times New Roman"/>
          <w:sz w:val="28"/>
          <w:szCs w:val="28"/>
        </w:rPr>
        <w:t>.)// Экспериментальная и клиническая гастр</w:t>
      </w:r>
      <w:r w:rsidRPr="000F1636">
        <w:rPr>
          <w:rFonts w:ascii="Times New Roman" w:hAnsi="Times New Roman"/>
          <w:sz w:val="28"/>
          <w:szCs w:val="28"/>
        </w:rPr>
        <w:t>о</w:t>
      </w:r>
      <w:r w:rsidRPr="000F1636">
        <w:rPr>
          <w:rFonts w:ascii="Times New Roman" w:hAnsi="Times New Roman"/>
          <w:sz w:val="28"/>
          <w:szCs w:val="28"/>
        </w:rPr>
        <w:t xml:space="preserve">энтерология. </w:t>
      </w:r>
      <w:r w:rsidR="00B8494F" w:rsidRPr="000F1636">
        <w:rPr>
          <w:rFonts w:ascii="Times New Roman" w:hAnsi="Times New Roman"/>
          <w:sz w:val="28"/>
          <w:szCs w:val="28"/>
        </w:rPr>
        <w:t>–</w:t>
      </w:r>
      <w:r w:rsidRPr="000F1636">
        <w:rPr>
          <w:rFonts w:ascii="Times New Roman" w:hAnsi="Times New Roman"/>
          <w:sz w:val="28"/>
          <w:szCs w:val="28"/>
        </w:rPr>
        <w:t xml:space="preserve"> 2005. </w:t>
      </w:r>
      <w:r w:rsidR="00B8494F" w:rsidRPr="000F1636">
        <w:rPr>
          <w:rFonts w:ascii="Times New Roman" w:hAnsi="Times New Roman"/>
          <w:sz w:val="28"/>
          <w:szCs w:val="28"/>
        </w:rPr>
        <w:t>–</w:t>
      </w:r>
      <w:r w:rsidRPr="000F1636">
        <w:rPr>
          <w:rFonts w:ascii="Times New Roman" w:hAnsi="Times New Roman"/>
          <w:sz w:val="28"/>
          <w:szCs w:val="28"/>
        </w:rPr>
        <w:t xml:space="preserve"> № 3. </w:t>
      </w:r>
      <w:r w:rsidR="00B8494F" w:rsidRPr="000F1636">
        <w:rPr>
          <w:rFonts w:ascii="Times New Roman" w:hAnsi="Times New Roman"/>
          <w:sz w:val="28"/>
          <w:szCs w:val="28"/>
        </w:rPr>
        <w:t>–</w:t>
      </w:r>
      <w:r w:rsidRPr="000F1636">
        <w:rPr>
          <w:rFonts w:ascii="Times New Roman" w:hAnsi="Times New Roman"/>
          <w:sz w:val="28"/>
          <w:szCs w:val="28"/>
        </w:rPr>
        <w:t xml:space="preserve"> С. 3</w:t>
      </w:r>
      <w:r w:rsidR="0023356D" w:rsidRPr="000F1636">
        <w:rPr>
          <w:rFonts w:ascii="Times New Roman" w:hAnsi="Times New Roman"/>
          <w:sz w:val="28"/>
          <w:szCs w:val="28"/>
        </w:rPr>
        <w:t>–</w:t>
      </w:r>
      <w:r w:rsidRPr="000F1636">
        <w:rPr>
          <w:rFonts w:ascii="Times New Roman" w:hAnsi="Times New Roman"/>
          <w:sz w:val="28"/>
          <w:szCs w:val="28"/>
        </w:rPr>
        <w:t>6.</w:t>
      </w:r>
    </w:p>
    <w:p w:rsidR="00E127C0" w:rsidRPr="000F1636" w:rsidRDefault="00E127C0" w:rsidP="000F1636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F1636">
        <w:rPr>
          <w:i/>
          <w:sz w:val="28"/>
          <w:szCs w:val="28"/>
        </w:rPr>
        <w:t>pH-метрия</w:t>
      </w:r>
      <w:r w:rsidRPr="000F1636">
        <w:rPr>
          <w:sz w:val="28"/>
          <w:szCs w:val="28"/>
        </w:rPr>
        <w:t xml:space="preserve"> пищевода и желудка при заболеваниях верхних отделов п</w:t>
      </w:r>
      <w:r w:rsidRPr="000F1636">
        <w:rPr>
          <w:sz w:val="28"/>
          <w:szCs w:val="28"/>
        </w:rPr>
        <w:t>и</w:t>
      </w:r>
      <w:r w:rsidRPr="000F1636">
        <w:rPr>
          <w:sz w:val="28"/>
          <w:szCs w:val="28"/>
        </w:rPr>
        <w:t>щеварительного тракта [Текст]</w:t>
      </w:r>
      <w:r w:rsidR="0096610E" w:rsidRPr="000F1636">
        <w:rPr>
          <w:sz w:val="28"/>
          <w:szCs w:val="28"/>
        </w:rPr>
        <w:t xml:space="preserve"> </w:t>
      </w:r>
      <w:r w:rsidRPr="000F1636">
        <w:rPr>
          <w:sz w:val="28"/>
          <w:szCs w:val="28"/>
        </w:rPr>
        <w:t>/</w:t>
      </w:r>
      <w:r w:rsidR="0096610E" w:rsidRPr="000F1636">
        <w:rPr>
          <w:sz w:val="28"/>
          <w:szCs w:val="28"/>
        </w:rPr>
        <w:t xml:space="preserve"> П</w:t>
      </w:r>
      <w:r w:rsidRPr="000F1636">
        <w:rPr>
          <w:sz w:val="28"/>
          <w:szCs w:val="28"/>
        </w:rPr>
        <w:t xml:space="preserve">од ред. </w:t>
      </w:r>
      <w:r w:rsidR="00316882" w:rsidRPr="000F1636">
        <w:rPr>
          <w:sz w:val="28"/>
          <w:szCs w:val="28"/>
        </w:rPr>
        <w:t>а</w:t>
      </w:r>
      <w:r w:rsidRPr="000F1636">
        <w:rPr>
          <w:sz w:val="28"/>
          <w:szCs w:val="28"/>
        </w:rPr>
        <w:t>кад</w:t>
      </w:r>
      <w:r w:rsidR="0096610E" w:rsidRPr="000F1636">
        <w:rPr>
          <w:sz w:val="28"/>
          <w:szCs w:val="28"/>
        </w:rPr>
        <w:t>.</w:t>
      </w:r>
      <w:r w:rsidRPr="000F1636">
        <w:rPr>
          <w:sz w:val="28"/>
          <w:szCs w:val="28"/>
        </w:rPr>
        <w:t xml:space="preserve"> РАМН Ф.И. Комарова.</w:t>
      </w:r>
      <w:r w:rsidR="00B8494F" w:rsidRPr="000F1636">
        <w:rPr>
          <w:sz w:val="28"/>
          <w:szCs w:val="28"/>
        </w:rPr>
        <w:t xml:space="preserve"> –</w:t>
      </w:r>
      <w:r w:rsidRPr="000F1636">
        <w:rPr>
          <w:sz w:val="28"/>
          <w:szCs w:val="28"/>
        </w:rPr>
        <w:t xml:space="preserve"> М.: ИД МЕДПРАКТИКА, 2005. – 208 </w:t>
      </w:r>
      <w:proofErr w:type="gramStart"/>
      <w:r w:rsidRPr="000F1636">
        <w:rPr>
          <w:sz w:val="28"/>
          <w:szCs w:val="28"/>
        </w:rPr>
        <w:t>с</w:t>
      </w:r>
      <w:proofErr w:type="gramEnd"/>
      <w:r w:rsidRPr="000F1636">
        <w:rPr>
          <w:sz w:val="28"/>
          <w:szCs w:val="28"/>
        </w:rPr>
        <w:t>.</w:t>
      </w:r>
    </w:p>
    <w:p w:rsidR="00E127C0" w:rsidRPr="000F1636" w:rsidRDefault="00E127C0" w:rsidP="000F1636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8"/>
          <w:szCs w:val="28"/>
          <w:lang w:val="en-US"/>
        </w:rPr>
      </w:pPr>
      <w:r w:rsidRPr="000F1636">
        <w:rPr>
          <w:i/>
          <w:sz w:val="28"/>
          <w:szCs w:val="28"/>
          <w:lang w:val="en-US"/>
        </w:rPr>
        <w:t>Feldman M., Richardson C.T.</w:t>
      </w:r>
      <w:r w:rsidRPr="000F1636">
        <w:rPr>
          <w:sz w:val="28"/>
          <w:szCs w:val="28"/>
          <w:lang w:val="en-US"/>
        </w:rPr>
        <w:t xml:space="preserve"> Total 24-hour gastric secretion in patients with duodenal ulcer. Comparison with normal subjects and effects of </w:t>
      </w:r>
      <w:proofErr w:type="spellStart"/>
      <w:r w:rsidRPr="000F1636">
        <w:rPr>
          <w:sz w:val="28"/>
          <w:szCs w:val="28"/>
          <w:lang w:val="en-US"/>
        </w:rPr>
        <w:t>cimetidine</w:t>
      </w:r>
      <w:proofErr w:type="spellEnd"/>
      <w:r w:rsidRPr="000F1636">
        <w:rPr>
          <w:sz w:val="28"/>
          <w:szCs w:val="28"/>
          <w:lang w:val="en-US"/>
        </w:rPr>
        <w:t xml:space="preserve"> and parietal cell </w:t>
      </w:r>
      <w:proofErr w:type="spellStart"/>
      <w:r w:rsidRPr="000F1636">
        <w:rPr>
          <w:sz w:val="28"/>
          <w:szCs w:val="28"/>
          <w:lang w:val="en-US"/>
        </w:rPr>
        <w:t>vagotomy</w:t>
      </w:r>
      <w:proofErr w:type="spellEnd"/>
      <w:r w:rsidRPr="000F1636">
        <w:rPr>
          <w:sz w:val="28"/>
          <w:szCs w:val="28"/>
          <w:lang w:val="en-US"/>
        </w:rPr>
        <w:t xml:space="preserve"> // Gastroenterology.</w:t>
      </w:r>
      <w:r w:rsidR="00B8494F" w:rsidRPr="000F1636">
        <w:rPr>
          <w:sz w:val="28"/>
          <w:szCs w:val="28"/>
          <w:lang w:val="en-US"/>
        </w:rPr>
        <w:t xml:space="preserve"> –</w:t>
      </w:r>
      <w:r w:rsidRPr="000F1636">
        <w:rPr>
          <w:sz w:val="28"/>
          <w:szCs w:val="28"/>
          <w:lang w:val="en-US"/>
        </w:rPr>
        <w:t xml:space="preserve"> 1986.</w:t>
      </w:r>
      <w:r w:rsidR="00B8494F" w:rsidRPr="000F1636">
        <w:rPr>
          <w:sz w:val="28"/>
          <w:szCs w:val="28"/>
          <w:lang w:val="en-US"/>
        </w:rPr>
        <w:t xml:space="preserve"> –</w:t>
      </w:r>
      <w:r w:rsidRPr="000F1636">
        <w:rPr>
          <w:sz w:val="28"/>
          <w:szCs w:val="28"/>
          <w:lang w:val="en-US"/>
        </w:rPr>
        <w:t xml:space="preserve"> V. 90.</w:t>
      </w:r>
      <w:r w:rsidR="00B8494F" w:rsidRPr="000F1636">
        <w:rPr>
          <w:sz w:val="28"/>
          <w:szCs w:val="28"/>
          <w:lang w:val="en-US"/>
        </w:rPr>
        <w:t xml:space="preserve"> –</w:t>
      </w:r>
      <w:r w:rsidRPr="000F1636">
        <w:rPr>
          <w:sz w:val="28"/>
          <w:szCs w:val="28"/>
          <w:lang w:val="en-US"/>
        </w:rPr>
        <w:t xml:space="preserve"> p.</w:t>
      </w:r>
      <w:r w:rsidR="0023356D" w:rsidRPr="000F1636">
        <w:rPr>
          <w:sz w:val="28"/>
          <w:szCs w:val="28"/>
          <w:lang w:val="en-US"/>
        </w:rPr>
        <w:t xml:space="preserve"> </w:t>
      </w:r>
      <w:r w:rsidRPr="000F1636">
        <w:rPr>
          <w:sz w:val="28"/>
          <w:szCs w:val="28"/>
          <w:lang w:val="en-US"/>
        </w:rPr>
        <w:t>540</w:t>
      </w:r>
      <w:r w:rsidR="0023356D" w:rsidRPr="000F1636">
        <w:rPr>
          <w:sz w:val="28"/>
          <w:szCs w:val="28"/>
          <w:lang w:val="en-US"/>
        </w:rPr>
        <w:t>–</w:t>
      </w:r>
      <w:r w:rsidRPr="000F1636">
        <w:rPr>
          <w:sz w:val="28"/>
          <w:szCs w:val="28"/>
          <w:lang w:val="en-US"/>
        </w:rPr>
        <w:t>544.</w:t>
      </w:r>
    </w:p>
    <w:p w:rsidR="00E127C0" w:rsidRPr="000F1636" w:rsidRDefault="00E127C0" w:rsidP="000F1636">
      <w:pPr>
        <w:ind w:firstLine="709"/>
        <w:jc w:val="both"/>
        <w:rPr>
          <w:sz w:val="28"/>
          <w:szCs w:val="28"/>
          <w:lang w:val="en-US"/>
        </w:rPr>
      </w:pPr>
    </w:p>
    <w:p w:rsidR="00721BC3" w:rsidRPr="000F1636" w:rsidRDefault="00721BC3" w:rsidP="000F1636">
      <w:pPr>
        <w:ind w:firstLine="709"/>
        <w:jc w:val="both"/>
        <w:rPr>
          <w:sz w:val="28"/>
          <w:szCs w:val="28"/>
        </w:rPr>
      </w:pPr>
      <w:r w:rsidRPr="000F1636">
        <w:rPr>
          <w:sz w:val="28"/>
          <w:szCs w:val="28"/>
        </w:rPr>
        <w:t>Колесникова И.Ю. (контактное лицо) – доктор мед</w:t>
      </w:r>
      <w:proofErr w:type="gramStart"/>
      <w:r w:rsidRPr="000F1636">
        <w:rPr>
          <w:sz w:val="28"/>
          <w:szCs w:val="28"/>
        </w:rPr>
        <w:t>.</w:t>
      </w:r>
      <w:proofErr w:type="gramEnd"/>
      <w:r w:rsidRPr="000F1636">
        <w:rPr>
          <w:sz w:val="28"/>
          <w:szCs w:val="28"/>
        </w:rPr>
        <w:t xml:space="preserve"> </w:t>
      </w:r>
      <w:proofErr w:type="gramStart"/>
      <w:r w:rsidRPr="000F1636">
        <w:rPr>
          <w:sz w:val="28"/>
          <w:szCs w:val="28"/>
        </w:rPr>
        <w:t>н</w:t>
      </w:r>
      <w:proofErr w:type="gramEnd"/>
      <w:r w:rsidRPr="000F1636">
        <w:rPr>
          <w:sz w:val="28"/>
          <w:szCs w:val="28"/>
        </w:rPr>
        <w:t>аук, профессор к</w:t>
      </w:r>
      <w:r w:rsidRPr="000F1636">
        <w:rPr>
          <w:sz w:val="28"/>
          <w:szCs w:val="28"/>
        </w:rPr>
        <w:t>а</w:t>
      </w:r>
      <w:r w:rsidRPr="000F1636">
        <w:rPr>
          <w:sz w:val="28"/>
          <w:szCs w:val="28"/>
        </w:rPr>
        <w:t>федры госпитальной терапии. 170642, Тверь, ул. Советская, д. 4.</w:t>
      </w:r>
      <w:r w:rsidR="0023356D" w:rsidRPr="000F1636">
        <w:rPr>
          <w:sz w:val="28"/>
          <w:szCs w:val="28"/>
        </w:rPr>
        <w:t xml:space="preserve"> </w:t>
      </w:r>
      <w:proofErr w:type="spellStart"/>
      <w:r w:rsidRPr="000F1636">
        <w:rPr>
          <w:sz w:val="28"/>
          <w:szCs w:val="28"/>
        </w:rPr>
        <w:t>e-mail</w:t>
      </w:r>
      <w:proofErr w:type="spellEnd"/>
      <w:r w:rsidRPr="000F1636">
        <w:rPr>
          <w:sz w:val="28"/>
          <w:szCs w:val="28"/>
        </w:rPr>
        <w:t xml:space="preserve">: </w:t>
      </w:r>
      <w:proofErr w:type="spellStart"/>
      <w:r w:rsidRPr="000F1636">
        <w:rPr>
          <w:sz w:val="28"/>
          <w:szCs w:val="28"/>
        </w:rPr>
        <w:t>famco@tvcom.ru</w:t>
      </w:r>
      <w:proofErr w:type="spellEnd"/>
      <w:r w:rsidRPr="000F1636">
        <w:rPr>
          <w:sz w:val="28"/>
          <w:szCs w:val="28"/>
        </w:rPr>
        <w:t>.</w:t>
      </w:r>
    </w:p>
    <w:p w:rsidR="00721BC3" w:rsidRPr="009A1BB0" w:rsidRDefault="00721BC3" w:rsidP="005C63C9">
      <w:pPr>
        <w:spacing w:line="360" w:lineRule="auto"/>
        <w:ind w:firstLine="709"/>
        <w:rPr>
          <w:sz w:val="24"/>
          <w:szCs w:val="24"/>
        </w:rPr>
      </w:pPr>
    </w:p>
    <w:p w:rsidR="00E127C0" w:rsidRPr="009A1BB0" w:rsidRDefault="00E127C0" w:rsidP="005C63C9">
      <w:pPr>
        <w:spacing w:line="360" w:lineRule="auto"/>
        <w:ind w:firstLine="709"/>
        <w:rPr>
          <w:sz w:val="24"/>
          <w:szCs w:val="24"/>
        </w:rPr>
      </w:pPr>
      <w:r w:rsidRPr="009A1BB0">
        <w:rPr>
          <w:sz w:val="24"/>
          <w:szCs w:val="24"/>
        </w:rPr>
        <w:t>Таблица 1</w:t>
      </w:r>
    </w:p>
    <w:p w:rsidR="00E127C0" w:rsidRPr="009A1BB0" w:rsidRDefault="00E127C0" w:rsidP="005C63C9">
      <w:pPr>
        <w:spacing w:line="360" w:lineRule="auto"/>
        <w:ind w:firstLine="709"/>
        <w:rPr>
          <w:sz w:val="24"/>
          <w:szCs w:val="24"/>
        </w:rPr>
      </w:pPr>
      <w:r w:rsidRPr="009A1BB0">
        <w:rPr>
          <w:sz w:val="24"/>
          <w:szCs w:val="24"/>
        </w:rPr>
        <w:t xml:space="preserve">Показатели </w:t>
      </w:r>
      <w:proofErr w:type="spellStart"/>
      <w:r w:rsidRPr="009A1BB0">
        <w:rPr>
          <w:sz w:val="24"/>
          <w:szCs w:val="24"/>
        </w:rPr>
        <w:t>рН</w:t>
      </w:r>
      <w:proofErr w:type="spellEnd"/>
      <w:r w:rsidRPr="009A1BB0">
        <w:rPr>
          <w:sz w:val="24"/>
          <w:szCs w:val="24"/>
        </w:rPr>
        <w:t xml:space="preserve"> и </w:t>
      </w:r>
      <w:proofErr w:type="spellStart"/>
      <w:r w:rsidRPr="009A1BB0">
        <w:rPr>
          <w:sz w:val="24"/>
          <w:szCs w:val="24"/>
        </w:rPr>
        <w:t>дуоденогастрального</w:t>
      </w:r>
      <w:proofErr w:type="spellEnd"/>
      <w:r w:rsidRPr="009A1BB0">
        <w:rPr>
          <w:sz w:val="24"/>
          <w:szCs w:val="24"/>
        </w:rPr>
        <w:t xml:space="preserve"> </w:t>
      </w:r>
      <w:proofErr w:type="spellStart"/>
      <w:r w:rsidRPr="009A1BB0">
        <w:rPr>
          <w:sz w:val="24"/>
          <w:szCs w:val="24"/>
        </w:rPr>
        <w:t>рефлюкса</w:t>
      </w:r>
      <w:proofErr w:type="spellEnd"/>
      <w:r w:rsidRPr="009A1BB0">
        <w:rPr>
          <w:sz w:val="24"/>
          <w:szCs w:val="24"/>
        </w:rPr>
        <w:t xml:space="preserve"> у больных в зависимости от вариа</w:t>
      </w:r>
      <w:r w:rsidRPr="009A1BB0">
        <w:rPr>
          <w:sz w:val="24"/>
          <w:szCs w:val="24"/>
        </w:rPr>
        <w:t>н</w:t>
      </w:r>
      <w:r w:rsidRPr="009A1BB0">
        <w:rPr>
          <w:sz w:val="24"/>
          <w:szCs w:val="24"/>
        </w:rPr>
        <w:t>та течения язвенной болезни двенадцатиперстной кишки (ЯБДК) (M</w:t>
      </w:r>
      <w:r w:rsidR="001441B6" w:rsidRPr="009A1BB0">
        <w:rPr>
          <w:sz w:val="24"/>
          <w:szCs w:val="24"/>
        </w:rPr>
        <w:t xml:space="preserve"> ± </w:t>
      </w:r>
      <w:proofErr w:type="spellStart"/>
      <w:r w:rsidRPr="009A1BB0">
        <w:rPr>
          <w:sz w:val="24"/>
          <w:szCs w:val="24"/>
        </w:rPr>
        <w:t>m</w:t>
      </w:r>
      <w:proofErr w:type="spellEnd"/>
      <w:r w:rsidR="0021674D" w:rsidRPr="009A1BB0">
        <w:rPr>
          <w:sz w:val="24"/>
          <w:szCs w:val="24"/>
        </w:rPr>
        <w:t xml:space="preserve">, </w:t>
      </w:r>
      <w:proofErr w:type="gramStart"/>
      <w:r w:rsidR="0021674D" w:rsidRPr="009A1BB0">
        <w:rPr>
          <w:sz w:val="24"/>
          <w:szCs w:val="24"/>
        </w:rPr>
        <w:t>Р</w:t>
      </w:r>
      <w:proofErr w:type="gramEnd"/>
      <w:r w:rsidR="001441B6" w:rsidRPr="009A1BB0">
        <w:rPr>
          <w:sz w:val="24"/>
          <w:szCs w:val="24"/>
        </w:rPr>
        <w:t xml:space="preserve"> ± </w:t>
      </w:r>
      <w:proofErr w:type="spellStart"/>
      <w:r w:rsidR="0021674D" w:rsidRPr="009A1BB0">
        <w:rPr>
          <w:sz w:val="24"/>
          <w:szCs w:val="24"/>
        </w:rPr>
        <w:t>р</w:t>
      </w:r>
      <w:proofErr w:type="spellEnd"/>
      <w:r w:rsidRPr="009A1BB0">
        <w:rPr>
          <w:sz w:val="24"/>
          <w:szCs w:val="24"/>
        </w:rPr>
        <w:t>)</w:t>
      </w:r>
    </w:p>
    <w:tbl>
      <w:tblPr>
        <w:tblW w:w="934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5"/>
        <w:gridCol w:w="1440"/>
        <w:gridCol w:w="1862"/>
        <w:gridCol w:w="1554"/>
      </w:tblGrid>
      <w:tr w:rsidR="00E127C0" w:rsidRPr="009A1BB0" w:rsidTr="005C63C9">
        <w:trPr>
          <w:trHeight w:val="20"/>
        </w:trPr>
        <w:tc>
          <w:tcPr>
            <w:tcW w:w="5925" w:type="dxa"/>
            <w:gridSpan w:val="2"/>
            <w:vMerge w:val="restart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Показатель</w:t>
            </w:r>
          </w:p>
        </w:tc>
        <w:tc>
          <w:tcPr>
            <w:tcW w:w="3416" w:type="dxa"/>
            <w:gridSpan w:val="2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Течение ЯБДК</w:t>
            </w:r>
          </w:p>
        </w:tc>
      </w:tr>
      <w:tr w:rsidR="00E127C0" w:rsidRPr="009A1BB0" w:rsidTr="005C63C9">
        <w:trPr>
          <w:trHeight w:val="20"/>
        </w:trPr>
        <w:tc>
          <w:tcPr>
            <w:tcW w:w="5925" w:type="dxa"/>
            <w:gridSpan w:val="2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862" w:type="dxa"/>
          </w:tcPr>
          <w:p w:rsidR="00E127C0" w:rsidRPr="009A1BB0" w:rsidRDefault="00E127C0" w:rsidP="00891D9C">
            <w:pPr>
              <w:rPr>
                <w:lang w:eastAsia="en-US"/>
              </w:rPr>
            </w:pPr>
            <w:proofErr w:type="spellStart"/>
            <w:r w:rsidRPr="009A1BB0">
              <w:t>неосложненное</w:t>
            </w:r>
            <w:proofErr w:type="spellEnd"/>
            <w:r w:rsidRPr="009A1BB0">
              <w:t>,</w:t>
            </w:r>
            <w:r w:rsidR="005C63C9" w:rsidRPr="009A1BB0">
              <w:t xml:space="preserve"> </w:t>
            </w:r>
            <w:proofErr w:type="spellStart"/>
            <w:r w:rsidRPr="009A1BB0">
              <w:t>n</w:t>
            </w:r>
            <w:proofErr w:type="spellEnd"/>
            <w:r w:rsidR="00B8494F" w:rsidRPr="009A1BB0">
              <w:t> </w:t>
            </w:r>
            <w:r w:rsidRPr="009A1BB0">
              <w:t>= 6</w:t>
            </w:r>
            <w:r w:rsidR="008E5800" w:rsidRPr="009A1BB0">
              <w:t>1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proofErr w:type="gramStart"/>
            <w:r w:rsidRPr="009A1BB0">
              <w:t>осложненное</w:t>
            </w:r>
            <w:proofErr w:type="gramEnd"/>
            <w:r w:rsidRPr="009A1BB0">
              <w:t xml:space="preserve"> перфорацией,</w:t>
            </w:r>
            <w:r w:rsidR="005C63C9" w:rsidRPr="009A1BB0">
              <w:t xml:space="preserve"> </w:t>
            </w:r>
            <w:proofErr w:type="spellStart"/>
            <w:r w:rsidRPr="009A1BB0">
              <w:t>n</w:t>
            </w:r>
            <w:proofErr w:type="spellEnd"/>
            <w:r w:rsidR="00B8494F" w:rsidRPr="009A1BB0">
              <w:t xml:space="preserve"> = </w:t>
            </w:r>
            <w:r w:rsidRPr="009A1BB0">
              <w:t>52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 w:val="restart"/>
          </w:tcPr>
          <w:p w:rsidR="00E127C0" w:rsidRPr="009A1BB0" w:rsidRDefault="00E127C0" w:rsidP="005C63C9">
            <w:pPr>
              <w:rPr>
                <w:lang w:eastAsia="en-US"/>
              </w:rPr>
            </w:pPr>
            <w:proofErr w:type="spellStart"/>
            <w:r w:rsidRPr="009A1BB0">
              <w:t>рН</w:t>
            </w:r>
            <w:proofErr w:type="spellEnd"/>
            <w:r w:rsidRPr="009A1BB0">
              <w:t xml:space="preserve"> тела желудка, ед.</w:t>
            </w: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средний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bCs/>
                <w:lang w:eastAsia="en-US"/>
              </w:rPr>
            </w:pPr>
            <w:r w:rsidRPr="009A1BB0">
              <w:rPr>
                <w:bCs/>
              </w:rPr>
              <w:t>2</w:t>
            </w:r>
            <w:r w:rsidR="001441B6" w:rsidRPr="009A1BB0">
              <w:t xml:space="preserve"> ± </w:t>
            </w:r>
            <w:r w:rsidRPr="009A1BB0">
              <w:t>0,1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bCs/>
                <w:lang w:eastAsia="en-US"/>
              </w:rPr>
            </w:pPr>
            <w:r w:rsidRPr="009A1BB0">
              <w:rPr>
                <w:bCs/>
              </w:rPr>
              <w:t>1,6</w:t>
            </w:r>
            <w:r w:rsidR="001441B6" w:rsidRPr="009A1BB0">
              <w:t xml:space="preserve"> ± </w:t>
            </w:r>
            <w:r w:rsidRPr="009A1BB0">
              <w:t>0,17*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bCs/>
                <w:lang w:eastAsia="en-US"/>
              </w:rPr>
            </w:pPr>
            <w:r w:rsidRPr="009A1BB0">
              <w:rPr>
                <w:bCs/>
              </w:rPr>
              <w:t>2,1</w:t>
            </w:r>
            <w:r w:rsidR="001441B6" w:rsidRPr="009A1BB0">
              <w:t xml:space="preserve"> ± </w:t>
            </w:r>
            <w:r w:rsidRPr="009A1BB0">
              <w:t>0,09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bCs/>
                <w:lang w:eastAsia="en-US"/>
              </w:rPr>
            </w:pPr>
            <w:r w:rsidRPr="009A1BB0">
              <w:rPr>
                <w:bCs/>
              </w:rPr>
              <w:t>1,6</w:t>
            </w:r>
            <w:r w:rsidR="001441B6" w:rsidRPr="009A1BB0">
              <w:t xml:space="preserve"> ± </w:t>
            </w:r>
            <w:r w:rsidRPr="009A1BB0">
              <w:t>0,18*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bCs/>
                <w:lang w:eastAsia="en-US"/>
              </w:rPr>
            </w:pPr>
            <w:r w:rsidRPr="009A1BB0">
              <w:rPr>
                <w:bCs/>
              </w:rPr>
              <w:t>1,8</w:t>
            </w:r>
            <w:r w:rsidR="001441B6" w:rsidRPr="009A1BB0">
              <w:t xml:space="preserve"> ± </w:t>
            </w:r>
            <w:r w:rsidRPr="009A1BB0">
              <w:t>0,12#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bCs/>
                <w:lang w:eastAsia="en-US"/>
              </w:rPr>
            </w:pPr>
            <w:r w:rsidRPr="009A1BB0">
              <w:rPr>
                <w:bCs/>
              </w:rPr>
              <w:t>1,6</w:t>
            </w:r>
            <w:r w:rsidR="001441B6" w:rsidRPr="009A1BB0">
              <w:t xml:space="preserve"> ± </w:t>
            </w:r>
            <w:r w:rsidRPr="009A1BB0">
              <w:t>0,21*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 w:val="restart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 xml:space="preserve">Длительность </w:t>
            </w:r>
            <w:proofErr w:type="spellStart"/>
            <w:r w:rsidRPr="009A1BB0">
              <w:t>рН</w:t>
            </w:r>
            <w:proofErr w:type="spellEnd"/>
            <w:r w:rsidR="00B8494F" w:rsidRPr="009A1BB0">
              <w:t xml:space="preserve"> &lt; </w:t>
            </w:r>
            <w:r w:rsidRPr="009A1BB0">
              <w:t xml:space="preserve">1,6 ед. в </w:t>
            </w:r>
            <w:proofErr w:type="gramStart"/>
            <w:r w:rsidRPr="009A1BB0">
              <w:t>теле</w:t>
            </w:r>
            <w:proofErr w:type="gramEnd"/>
            <w:r w:rsidRPr="009A1BB0">
              <w:t xml:space="preserve"> желудка, %</w:t>
            </w: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средняя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64</w:t>
            </w:r>
            <w:r w:rsidR="001441B6" w:rsidRPr="009A1BB0">
              <w:t xml:space="preserve"> ± </w:t>
            </w:r>
            <w:r w:rsidRPr="009A1BB0">
              <w:t>2,8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77</w:t>
            </w:r>
            <w:r w:rsidR="001441B6" w:rsidRPr="009A1BB0">
              <w:t xml:space="preserve"> ± </w:t>
            </w:r>
            <w:r w:rsidRPr="009A1BB0">
              <w:t>2,3*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60</w:t>
            </w:r>
            <w:r w:rsidR="001441B6" w:rsidRPr="009A1BB0">
              <w:t xml:space="preserve"> ± </w:t>
            </w:r>
            <w:r w:rsidRPr="009A1BB0">
              <w:t>2,9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76</w:t>
            </w:r>
            <w:r w:rsidR="001441B6" w:rsidRPr="009A1BB0">
              <w:t xml:space="preserve"> ± </w:t>
            </w:r>
            <w:r w:rsidRPr="009A1BB0">
              <w:t>2,4*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71</w:t>
            </w:r>
            <w:r w:rsidR="001441B6" w:rsidRPr="009A1BB0">
              <w:t xml:space="preserve"> ± </w:t>
            </w:r>
            <w:r w:rsidRPr="009A1BB0">
              <w:t>3,4#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79</w:t>
            </w:r>
            <w:r w:rsidR="001441B6" w:rsidRPr="009A1BB0">
              <w:t xml:space="preserve"> ± </w:t>
            </w:r>
            <w:r w:rsidRPr="009A1BB0">
              <w:t>2,8*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 w:val="restart"/>
          </w:tcPr>
          <w:p w:rsidR="00E127C0" w:rsidRPr="009A1BB0" w:rsidRDefault="00E127C0" w:rsidP="005C63C9">
            <w:pPr>
              <w:rPr>
                <w:lang w:eastAsia="en-US"/>
              </w:rPr>
            </w:pPr>
            <w:proofErr w:type="spellStart"/>
            <w:r w:rsidRPr="009A1BB0">
              <w:t>рН</w:t>
            </w:r>
            <w:proofErr w:type="spellEnd"/>
            <w:r w:rsidRPr="009A1BB0">
              <w:t xml:space="preserve"> </w:t>
            </w:r>
            <w:proofErr w:type="spellStart"/>
            <w:r w:rsidRPr="009A1BB0">
              <w:t>антрального</w:t>
            </w:r>
            <w:proofErr w:type="spellEnd"/>
            <w:r w:rsidRPr="009A1BB0">
              <w:t xml:space="preserve"> отдела, ед.</w:t>
            </w: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средний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3</w:t>
            </w:r>
            <w:r w:rsidR="001441B6" w:rsidRPr="009A1BB0">
              <w:t xml:space="preserve"> ± </w:t>
            </w:r>
            <w:r w:rsidRPr="009A1BB0">
              <w:t>0,2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2,3</w:t>
            </w:r>
            <w:r w:rsidR="001441B6" w:rsidRPr="009A1BB0">
              <w:t xml:space="preserve"> ± </w:t>
            </w:r>
            <w:r w:rsidRPr="009A1BB0">
              <w:t>0,25*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2,8</w:t>
            </w:r>
            <w:r w:rsidR="001441B6" w:rsidRPr="009A1BB0">
              <w:t xml:space="preserve"> ± </w:t>
            </w:r>
            <w:r w:rsidRPr="009A1BB0">
              <w:t>0,21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2,1</w:t>
            </w:r>
            <w:r w:rsidR="001441B6" w:rsidRPr="009A1BB0">
              <w:t xml:space="preserve"> ± </w:t>
            </w:r>
            <w:r w:rsidRPr="009A1BB0">
              <w:t>0,22*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3,3</w:t>
            </w:r>
            <w:r w:rsidR="001441B6" w:rsidRPr="009A1BB0">
              <w:t xml:space="preserve"> ± </w:t>
            </w:r>
            <w:r w:rsidRPr="009A1BB0">
              <w:t>0,31#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2,5</w:t>
            </w:r>
            <w:r w:rsidR="001441B6" w:rsidRPr="009A1BB0">
              <w:t xml:space="preserve"> ± </w:t>
            </w:r>
            <w:r w:rsidRPr="009A1BB0">
              <w:t>0,28*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 w:val="restart"/>
          </w:tcPr>
          <w:p w:rsidR="00E127C0" w:rsidRPr="009A1BB0" w:rsidRDefault="00E127C0" w:rsidP="00891D9C">
            <w:pPr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 w:rsidR="00B8494F" w:rsidRPr="009A1BB0">
              <w:t xml:space="preserve"> &lt; </w:t>
            </w:r>
            <w:r w:rsidRPr="009A1BB0">
              <w:t>2,0 ед.</w:t>
            </w:r>
            <w:r w:rsidR="00891D9C">
              <w:t xml:space="preserve"> </w:t>
            </w:r>
            <w:r w:rsidRPr="009A1BB0">
              <w:t xml:space="preserve">в </w:t>
            </w:r>
            <w:proofErr w:type="spellStart"/>
            <w:r w:rsidRPr="009A1BB0">
              <w:t>антруме</w:t>
            </w:r>
            <w:proofErr w:type="spellEnd"/>
            <w:r w:rsidRPr="009A1BB0">
              <w:t>, %</w:t>
            </w: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средняя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55</w:t>
            </w:r>
            <w:r w:rsidR="001441B6" w:rsidRPr="009A1BB0">
              <w:t xml:space="preserve"> ± </w:t>
            </w:r>
            <w:r w:rsidRPr="009A1BB0">
              <w:t>3,9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69</w:t>
            </w:r>
            <w:r w:rsidR="001441B6" w:rsidRPr="009A1BB0">
              <w:t xml:space="preserve"> ± </w:t>
            </w:r>
            <w:r w:rsidRPr="009A1BB0">
              <w:t>3,9*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56</w:t>
            </w:r>
            <w:r w:rsidR="001441B6" w:rsidRPr="009A1BB0">
              <w:t xml:space="preserve"> ± </w:t>
            </w:r>
            <w:r w:rsidRPr="009A1BB0">
              <w:t>2,6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64</w:t>
            </w:r>
            <w:r w:rsidR="001441B6" w:rsidRPr="009A1BB0">
              <w:t xml:space="preserve"> ± </w:t>
            </w:r>
            <w:r w:rsidRPr="009A1BB0">
              <w:t>2,4*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53</w:t>
            </w:r>
            <w:r w:rsidR="001441B6" w:rsidRPr="009A1BB0">
              <w:t xml:space="preserve"> ± </w:t>
            </w:r>
            <w:r w:rsidRPr="009A1BB0">
              <w:t>2,7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74</w:t>
            </w:r>
            <w:r w:rsidR="001441B6" w:rsidRPr="009A1BB0">
              <w:t xml:space="preserve"> ± </w:t>
            </w:r>
            <w:r w:rsidRPr="009A1BB0">
              <w:t>2,</w:t>
            </w:r>
            <w:r w:rsidR="00027CD3" w:rsidRPr="009A1BB0">
              <w:t>5</w:t>
            </w:r>
            <w:r w:rsidRPr="009A1BB0">
              <w:t>*#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 w:val="restart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Продолжительность ДГР, %</w:t>
            </w: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средняя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24</w:t>
            </w:r>
            <w:r w:rsidR="001441B6" w:rsidRPr="009A1BB0">
              <w:t xml:space="preserve"> ± </w:t>
            </w:r>
            <w:r w:rsidRPr="009A1BB0">
              <w:t>1,9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8</w:t>
            </w:r>
            <w:r w:rsidR="001441B6" w:rsidRPr="009A1BB0">
              <w:t xml:space="preserve"> ± </w:t>
            </w:r>
            <w:r w:rsidRPr="009A1BB0">
              <w:t>0,9*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19</w:t>
            </w:r>
            <w:r w:rsidR="001441B6" w:rsidRPr="009A1BB0">
              <w:t xml:space="preserve"> ± </w:t>
            </w:r>
            <w:r w:rsidRPr="009A1BB0">
              <w:t>2,1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10</w:t>
            </w:r>
            <w:r w:rsidR="001441B6" w:rsidRPr="009A1BB0">
              <w:t xml:space="preserve"> ± </w:t>
            </w:r>
            <w:r w:rsidRPr="009A1BB0">
              <w:t>1,1*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28</w:t>
            </w:r>
            <w:r w:rsidR="001441B6" w:rsidRPr="009A1BB0">
              <w:t xml:space="preserve"> ± </w:t>
            </w:r>
            <w:r w:rsidRPr="009A1BB0">
              <w:t>1,9#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8</w:t>
            </w:r>
            <w:r w:rsidR="001441B6" w:rsidRPr="009A1BB0">
              <w:t xml:space="preserve"> ± </w:t>
            </w:r>
            <w:r w:rsidRPr="009A1BB0">
              <w:t>0,9*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 w:val="restart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Число ДГР</w:t>
            </w:r>
            <w:r w:rsidR="0075166F" w:rsidRPr="009A1BB0">
              <w:t>,</w:t>
            </w:r>
            <w:r w:rsidRPr="009A1BB0">
              <w:t xml:space="preserve"> продолжительн</w:t>
            </w:r>
            <w:r w:rsidR="0075166F" w:rsidRPr="009A1BB0">
              <w:t>ее</w:t>
            </w:r>
            <w:r w:rsidRPr="009A1BB0">
              <w:t xml:space="preserve"> 5 мин, </w:t>
            </w:r>
            <w:proofErr w:type="spellStart"/>
            <w:r w:rsidRPr="009A1BB0">
              <w:t>абс</w:t>
            </w:r>
            <w:proofErr w:type="spellEnd"/>
            <w:r w:rsidRPr="009A1BB0">
              <w:t>.</w:t>
            </w: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среднее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19</w:t>
            </w:r>
            <w:r w:rsidR="001441B6" w:rsidRPr="009A1BB0">
              <w:t xml:space="preserve"> ± </w:t>
            </w:r>
            <w:r w:rsidRPr="009A1BB0">
              <w:t>1,6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</w:t>
            </w:r>
            <w:r w:rsidR="001441B6" w:rsidRPr="009A1BB0">
              <w:t xml:space="preserve"> ± </w:t>
            </w:r>
            <w:r w:rsidRPr="009A1BB0">
              <w:t>1,5*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день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7</w:t>
            </w:r>
            <w:r w:rsidR="001441B6" w:rsidRPr="009A1BB0">
              <w:t xml:space="preserve"> ± </w:t>
            </w:r>
            <w:r w:rsidRPr="009A1BB0">
              <w:t>1,1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3</w:t>
            </w:r>
            <w:r w:rsidR="001441B6" w:rsidRPr="009A1BB0">
              <w:t xml:space="preserve"> ± </w:t>
            </w:r>
            <w:r w:rsidRPr="009A1BB0">
              <w:t>1,0*</w:t>
            </w:r>
          </w:p>
        </w:tc>
      </w:tr>
      <w:tr w:rsidR="00E127C0" w:rsidRPr="009A1BB0" w:rsidTr="005C63C9">
        <w:trPr>
          <w:trHeight w:val="20"/>
        </w:trPr>
        <w:tc>
          <w:tcPr>
            <w:tcW w:w="4485" w:type="dxa"/>
            <w:vMerge/>
          </w:tcPr>
          <w:p w:rsidR="00E127C0" w:rsidRPr="009A1BB0" w:rsidRDefault="00E127C0" w:rsidP="005C63C9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ночь</w:t>
            </w:r>
          </w:p>
        </w:tc>
        <w:tc>
          <w:tcPr>
            <w:tcW w:w="1862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10</w:t>
            </w:r>
            <w:r w:rsidR="001441B6" w:rsidRPr="009A1BB0">
              <w:t xml:space="preserve"> ± </w:t>
            </w:r>
            <w:r w:rsidRPr="009A1BB0">
              <w:t>1,5</w:t>
            </w:r>
          </w:p>
        </w:tc>
        <w:tc>
          <w:tcPr>
            <w:tcW w:w="1554" w:type="dxa"/>
          </w:tcPr>
          <w:p w:rsidR="00E127C0" w:rsidRPr="009A1BB0" w:rsidRDefault="00E127C0" w:rsidP="005C63C9">
            <w:pPr>
              <w:rPr>
                <w:lang w:eastAsia="en-US"/>
              </w:rPr>
            </w:pPr>
            <w:r w:rsidRPr="009A1BB0">
              <w:t>6</w:t>
            </w:r>
            <w:r w:rsidR="001441B6" w:rsidRPr="009A1BB0">
              <w:t xml:space="preserve"> ± </w:t>
            </w:r>
            <w:r w:rsidRPr="009A1BB0">
              <w:t>1,5*</w:t>
            </w:r>
          </w:p>
        </w:tc>
      </w:tr>
    </w:tbl>
    <w:p w:rsidR="00E127C0" w:rsidRPr="009A1BB0" w:rsidRDefault="00E127C0" w:rsidP="005C63C9">
      <w:pPr>
        <w:spacing w:line="360" w:lineRule="auto"/>
        <w:ind w:firstLine="709"/>
        <w:rPr>
          <w:sz w:val="24"/>
          <w:szCs w:val="24"/>
        </w:rPr>
      </w:pPr>
      <w:r w:rsidRPr="009A1BB0">
        <w:rPr>
          <w:i/>
          <w:sz w:val="24"/>
          <w:szCs w:val="24"/>
        </w:rPr>
        <w:t>Примечание</w:t>
      </w:r>
      <w:r w:rsidR="005C63C9" w:rsidRPr="009A1BB0">
        <w:rPr>
          <w:i/>
          <w:sz w:val="24"/>
          <w:szCs w:val="24"/>
        </w:rPr>
        <w:t>.</w:t>
      </w:r>
      <w:r w:rsidRPr="009A1BB0">
        <w:rPr>
          <w:sz w:val="24"/>
          <w:szCs w:val="24"/>
        </w:rPr>
        <w:t xml:space="preserve"> *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различи</w:t>
      </w:r>
      <w:r w:rsidR="0084255C"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 xml:space="preserve"> между вариантами течения ЯБДК по данному показателю статистически значимо (</w:t>
      </w:r>
      <w:proofErr w:type="spellStart"/>
      <w:proofErr w:type="gramStart"/>
      <w:r w:rsidRPr="009A1BB0">
        <w:rPr>
          <w:sz w:val="24"/>
          <w:szCs w:val="24"/>
        </w:rPr>
        <w:t>р</w:t>
      </w:r>
      <w:proofErr w:type="spellEnd"/>
      <w:proofErr w:type="gramEnd"/>
      <w:r w:rsidR="00B8494F" w:rsidRPr="009A1BB0">
        <w:rPr>
          <w:sz w:val="24"/>
          <w:szCs w:val="24"/>
        </w:rPr>
        <w:t xml:space="preserve"> &lt; </w:t>
      </w:r>
      <w:r w:rsidRPr="009A1BB0">
        <w:rPr>
          <w:sz w:val="24"/>
          <w:szCs w:val="24"/>
        </w:rPr>
        <w:t>0,05);</w:t>
      </w:r>
      <w:r w:rsidR="005C63C9" w:rsidRPr="009A1BB0">
        <w:rPr>
          <w:sz w:val="24"/>
          <w:szCs w:val="24"/>
        </w:rPr>
        <w:t xml:space="preserve"> </w:t>
      </w:r>
      <w:r w:rsidRPr="009A1BB0">
        <w:rPr>
          <w:sz w:val="24"/>
          <w:szCs w:val="24"/>
        </w:rPr>
        <w:t xml:space="preserve">#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различи</w:t>
      </w:r>
      <w:r w:rsidR="0084255C"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 xml:space="preserve"> между дневным и ночным значением в пред</w:t>
      </w:r>
      <w:r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>лах своего варианта статистически значимо (</w:t>
      </w:r>
      <w:proofErr w:type="spellStart"/>
      <w:r w:rsidRPr="009A1BB0">
        <w:rPr>
          <w:sz w:val="24"/>
          <w:szCs w:val="24"/>
        </w:rPr>
        <w:t>р</w:t>
      </w:r>
      <w:proofErr w:type="spellEnd"/>
      <w:r w:rsidR="00B8494F" w:rsidRPr="009A1BB0">
        <w:rPr>
          <w:sz w:val="24"/>
          <w:szCs w:val="24"/>
        </w:rPr>
        <w:t xml:space="preserve"> &lt; </w:t>
      </w:r>
      <w:r w:rsidRPr="009A1BB0">
        <w:rPr>
          <w:sz w:val="24"/>
          <w:szCs w:val="24"/>
        </w:rPr>
        <w:t>0,05).</w:t>
      </w:r>
    </w:p>
    <w:p w:rsidR="00E127C0" w:rsidRPr="009A1BB0" w:rsidRDefault="00E127C0" w:rsidP="005C63C9">
      <w:pPr>
        <w:spacing w:line="360" w:lineRule="auto"/>
        <w:ind w:firstLine="709"/>
        <w:rPr>
          <w:sz w:val="24"/>
          <w:szCs w:val="24"/>
        </w:rPr>
      </w:pPr>
    </w:p>
    <w:p w:rsidR="00E127C0" w:rsidRPr="009A1BB0" w:rsidRDefault="00E127C0" w:rsidP="005C63C9">
      <w:pPr>
        <w:spacing w:line="360" w:lineRule="auto"/>
        <w:ind w:firstLine="709"/>
        <w:rPr>
          <w:sz w:val="24"/>
          <w:szCs w:val="24"/>
        </w:rPr>
      </w:pPr>
      <w:r w:rsidRPr="009A1BB0">
        <w:rPr>
          <w:sz w:val="24"/>
          <w:szCs w:val="24"/>
        </w:rPr>
        <w:t xml:space="preserve">Таблица </w:t>
      </w:r>
      <w:r w:rsidR="0084255C" w:rsidRPr="009A1BB0">
        <w:rPr>
          <w:sz w:val="24"/>
          <w:szCs w:val="24"/>
        </w:rPr>
        <w:t>2</w:t>
      </w:r>
    </w:p>
    <w:p w:rsidR="00E127C0" w:rsidRPr="009A1BB0" w:rsidRDefault="0084255C" w:rsidP="005C63C9">
      <w:pPr>
        <w:spacing w:line="360" w:lineRule="auto"/>
        <w:ind w:firstLine="709"/>
        <w:rPr>
          <w:sz w:val="24"/>
          <w:szCs w:val="24"/>
        </w:rPr>
      </w:pPr>
      <w:r w:rsidRPr="009A1BB0">
        <w:rPr>
          <w:sz w:val="24"/>
          <w:szCs w:val="24"/>
        </w:rPr>
        <w:t>Эффективность</w:t>
      </w:r>
      <w:r w:rsidR="00E127C0" w:rsidRPr="009A1BB0">
        <w:rPr>
          <w:sz w:val="24"/>
          <w:szCs w:val="24"/>
        </w:rPr>
        <w:t xml:space="preserve"> стандартных доз ингибиторов </w:t>
      </w:r>
      <w:proofErr w:type="spellStart"/>
      <w:r w:rsidR="00E127C0" w:rsidRPr="009A1BB0">
        <w:rPr>
          <w:sz w:val="24"/>
          <w:szCs w:val="24"/>
        </w:rPr>
        <w:t>протоновой</w:t>
      </w:r>
      <w:proofErr w:type="spellEnd"/>
      <w:r w:rsidR="00E127C0" w:rsidRPr="009A1BB0">
        <w:rPr>
          <w:sz w:val="24"/>
          <w:szCs w:val="24"/>
        </w:rPr>
        <w:t xml:space="preserve"> помпы у больных в зав</w:t>
      </w:r>
      <w:r w:rsidR="00E127C0" w:rsidRPr="009A1BB0">
        <w:rPr>
          <w:sz w:val="24"/>
          <w:szCs w:val="24"/>
        </w:rPr>
        <w:t>и</w:t>
      </w:r>
      <w:r w:rsidR="00E127C0" w:rsidRPr="009A1BB0">
        <w:rPr>
          <w:sz w:val="24"/>
          <w:szCs w:val="24"/>
        </w:rPr>
        <w:t>симости от течения ЯБДК (M</w:t>
      </w:r>
      <w:r w:rsidR="001441B6" w:rsidRPr="009A1BB0">
        <w:rPr>
          <w:sz w:val="24"/>
          <w:szCs w:val="24"/>
        </w:rPr>
        <w:t xml:space="preserve"> ± </w:t>
      </w:r>
      <w:proofErr w:type="spellStart"/>
      <w:r w:rsidR="00E127C0" w:rsidRPr="009A1BB0">
        <w:rPr>
          <w:sz w:val="24"/>
          <w:szCs w:val="24"/>
        </w:rPr>
        <w:t>m</w:t>
      </w:r>
      <w:proofErr w:type="spellEnd"/>
      <w:r w:rsidR="0021674D" w:rsidRPr="009A1BB0">
        <w:rPr>
          <w:sz w:val="24"/>
          <w:szCs w:val="24"/>
        </w:rPr>
        <w:t xml:space="preserve">, </w:t>
      </w:r>
      <w:proofErr w:type="gramStart"/>
      <w:r w:rsidR="0021674D" w:rsidRPr="009A1BB0">
        <w:rPr>
          <w:sz w:val="24"/>
          <w:szCs w:val="24"/>
        </w:rPr>
        <w:t>Р</w:t>
      </w:r>
      <w:proofErr w:type="gramEnd"/>
      <w:r w:rsidR="001441B6" w:rsidRPr="009A1BB0">
        <w:rPr>
          <w:sz w:val="24"/>
          <w:szCs w:val="24"/>
        </w:rPr>
        <w:t xml:space="preserve"> ± </w:t>
      </w:r>
      <w:proofErr w:type="spellStart"/>
      <w:r w:rsidR="0021674D" w:rsidRPr="009A1BB0">
        <w:rPr>
          <w:sz w:val="24"/>
          <w:szCs w:val="24"/>
        </w:rPr>
        <w:t>р</w:t>
      </w:r>
      <w:proofErr w:type="spellEnd"/>
      <w:r w:rsidR="00E127C0" w:rsidRPr="009A1BB0">
        <w:rPr>
          <w:sz w:val="24"/>
          <w:szCs w:val="24"/>
        </w:rPr>
        <w:t>)</w:t>
      </w:r>
    </w:p>
    <w:tbl>
      <w:tblPr>
        <w:tblW w:w="934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5"/>
        <w:gridCol w:w="2610"/>
        <w:gridCol w:w="2610"/>
      </w:tblGrid>
      <w:tr w:rsidR="005A0BB0" w:rsidRPr="009A1BB0" w:rsidTr="00AD42CB">
        <w:trPr>
          <w:trHeight w:val="20"/>
        </w:trPr>
        <w:tc>
          <w:tcPr>
            <w:tcW w:w="4125" w:type="dxa"/>
            <w:vMerge w:val="restart"/>
          </w:tcPr>
          <w:p w:rsidR="005A0BB0" w:rsidRPr="009A1BB0" w:rsidRDefault="005A0BB0" w:rsidP="005C63C9">
            <w:r w:rsidRPr="009A1BB0">
              <w:t>Показатель</w:t>
            </w:r>
          </w:p>
        </w:tc>
        <w:tc>
          <w:tcPr>
            <w:tcW w:w="5220" w:type="dxa"/>
            <w:gridSpan w:val="2"/>
          </w:tcPr>
          <w:p w:rsidR="005A0BB0" w:rsidRPr="009A1BB0" w:rsidRDefault="005A0BB0" w:rsidP="005C63C9">
            <w:r w:rsidRPr="009A1BB0">
              <w:t>Течение ЯБДК</w:t>
            </w:r>
          </w:p>
        </w:tc>
      </w:tr>
      <w:tr w:rsidR="005A0BB0" w:rsidRPr="009A1BB0" w:rsidTr="00AD42CB">
        <w:trPr>
          <w:trHeight w:val="20"/>
        </w:trPr>
        <w:tc>
          <w:tcPr>
            <w:tcW w:w="4125" w:type="dxa"/>
            <w:vMerge/>
          </w:tcPr>
          <w:p w:rsidR="005A0BB0" w:rsidRPr="009A1BB0" w:rsidRDefault="005A0BB0" w:rsidP="005C63C9"/>
        </w:tc>
        <w:tc>
          <w:tcPr>
            <w:tcW w:w="2610" w:type="dxa"/>
          </w:tcPr>
          <w:p w:rsidR="005A0BB0" w:rsidRPr="009A1BB0" w:rsidRDefault="005A0BB0" w:rsidP="00B8494F">
            <w:pPr>
              <w:rPr>
                <w:lang w:eastAsia="en-US"/>
              </w:rPr>
            </w:pPr>
            <w:proofErr w:type="spellStart"/>
            <w:r w:rsidRPr="009A1BB0">
              <w:t>неосложненное</w:t>
            </w:r>
            <w:proofErr w:type="spellEnd"/>
            <w:r w:rsidRPr="009A1BB0">
              <w:t>,</w:t>
            </w:r>
            <w:r w:rsidR="00AD42CB" w:rsidRPr="009A1BB0">
              <w:t xml:space="preserve"> </w:t>
            </w:r>
            <w:proofErr w:type="spellStart"/>
            <w:r w:rsidRPr="009A1BB0">
              <w:t>n</w:t>
            </w:r>
            <w:proofErr w:type="spellEnd"/>
            <w:r w:rsidR="00B8494F" w:rsidRPr="009A1BB0">
              <w:t> </w:t>
            </w:r>
            <w:r w:rsidRPr="009A1BB0">
              <w:t>= 61</w:t>
            </w:r>
          </w:p>
        </w:tc>
        <w:tc>
          <w:tcPr>
            <w:tcW w:w="2610" w:type="dxa"/>
          </w:tcPr>
          <w:p w:rsidR="005A0BB0" w:rsidRPr="009A1BB0" w:rsidRDefault="005A0BB0" w:rsidP="00B8494F">
            <w:pPr>
              <w:rPr>
                <w:lang w:eastAsia="en-US"/>
              </w:rPr>
            </w:pPr>
            <w:proofErr w:type="gramStart"/>
            <w:r w:rsidRPr="009A1BB0">
              <w:t>осложненное</w:t>
            </w:r>
            <w:proofErr w:type="gramEnd"/>
            <w:r w:rsidR="00AD42CB" w:rsidRPr="009A1BB0">
              <w:t xml:space="preserve"> </w:t>
            </w:r>
            <w:r w:rsidRPr="009A1BB0">
              <w:t xml:space="preserve">перфорацией, </w:t>
            </w:r>
            <w:proofErr w:type="spellStart"/>
            <w:r w:rsidRPr="009A1BB0">
              <w:t>n</w:t>
            </w:r>
            <w:proofErr w:type="spellEnd"/>
            <w:r w:rsidR="00B8494F" w:rsidRPr="009A1BB0">
              <w:t> </w:t>
            </w:r>
            <w:r w:rsidRPr="009A1BB0">
              <w:t>= 52</w:t>
            </w:r>
          </w:p>
        </w:tc>
      </w:tr>
      <w:tr w:rsidR="005A0BB0" w:rsidRPr="009A1BB0" w:rsidTr="00AD42CB">
        <w:trPr>
          <w:trHeight w:val="20"/>
        </w:trPr>
        <w:tc>
          <w:tcPr>
            <w:tcW w:w="4125" w:type="dxa"/>
          </w:tcPr>
          <w:p w:rsidR="005A0BB0" w:rsidRPr="009A1BB0" w:rsidRDefault="005A0BB0" w:rsidP="005C63C9">
            <w:pPr>
              <w:rPr>
                <w:lang w:eastAsia="en-US"/>
              </w:rPr>
            </w:pPr>
            <w:proofErr w:type="spellStart"/>
            <w:r w:rsidRPr="009A1BB0">
              <w:t>рН</w:t>
            </w:r>
            <w:proofErr w:type="spellEnd"/>
            <w:r w:rsidRPr="009A1BB0">
              <w:t xml:space="preserve"> тела желудка, ед.</w:t>
            </w:r>
          </w:p>
        </w:tc>
        <w:tc>
          <w:tcPr>
            <w:tcW w:w="2610" w:type="dxa"/>
          </w:tcPr>
          <w:p w:rsidR="005A0BB0" w:rsidRPr="009A1BB0" w:rsidRDefault="005A0BB0" w:rsidP="005C63C9">
            <w:pPr>
              <w:rPr>
                <w:bCs/>
                <w:lang w:eastAsia="en-US"/>
              </w:rPr>
            </w:pPr>
            <w:r w:rsidRPr="009A1BB0">
              <w:t>5,4</w:t>
            </w:r>
            <w:r w:rsidR="001441B6" w:rsidRPr="009A1BB0">
              <w:t xml:space="preserve"> ± </w:t>
            </w:r>
            <w:r w:rsidRPr="009A1BB0">
              <w:t>0,16</w:t>
            </w:r>
          </w:p>
        </w:tc>
        <w:tc>
          <w:tcPr>
            <w:tcW w:w="2610" w:type="dxa"/>
          </w:tcPr>
          <w:p w:rsidR="005A0BB0" w:rsidRPr="009A1BB0" w:rsidRDefault="00691C76" w:rsidP="005C63C9">
            <w:pPr>
              <w:rPr>
                <w:bCs/>
                <w:lang w:eastAsia="en-US"/>
              </w:rPr>
            </w:pPr>
            <w:r w:rsidRPr="009A1BB0">
              <w:t>4</w:t>
            </w:r>
            <w:r w:rsidR="005A0BB0" w:rsidRPr="009A1BB0">
              <w:t>,</w:t>
            </w:r>
            <w:r w:rsidRPr="009A1BB0">
              <w:t>6</w:t>
            </w:r>
            <w:r w:rsidR="001441B6" w:rsidRPr="009A1BB0">
              <w:t xml:space="preserve"> ± </w:t>
            </w:r>
            <w:r w:rsidR="005A0BB0" w:rsidRPr="009A1BB0">
              <w:t>0,21</w:t>
            </w:r>
            <w:r w:rsidRPr="009A1BB0">
              <w:t>*</w:t>
            </w:r>
          </w:p>
        </w:tc>
      </w:tr>
      <w:tr w:rsidR="005A0BB0" w:rsidRPr="009A1BB0" w:rsidTr="00AD42CB">
        <w:trPr>
          <w:trHeight w:val="20"/>
        </w:trPr>
        <w:tc>
          <w:tcPr>
            <w:tcW w:w="4125" w:type="dxa"/>
          </w:tcPr>
          <w:p w:rsidR="005A0BB0" w:rsidRPr="009A1BB0" w:rsidRDefault="005A0BB0" w:rsidP="00891D9C">
            <w:pPr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 w:rsidR="00D7393A">
              <w:t xml:space="preserve"> &gt; </w:t>
            </w:r>
            <w:r w:rsidRPr="009A1BB0">
              <w:t>3,0 ед.</w:t>
            </w:r>
            <w:r w:rsidR="00891D9C">
              <w:t xml:space="preserve"> </w:t>
            </w:r>
            <w:r w:rsidRPr="009A1BB0">
              <w:t>в теле желудка, %</w:t>
            </w:r>
          </w:p>
        </w:tc>
        <w:tc>
          <w:tcPr>
            <w:tcW w:w="2610" w:type="dxa"/>
          </w:tcPr>
          <w:p w:rsidR="005A0BB0" w:rsidRPr="009A1BB0" w:rsidRDefault="005A0BB0" w:rsidP="005C63C9">
            <w:pPr>
              <w:rPr>
                <w:lang w:eastAsia="en-US"/>
              </w:rPr>
            </w:pPr>
            <w:r w:rsidRPr="009A1BB0">
              <w:t>86</w:t>
            </w:r>
            <w:r w:rsidR="001441B6" w:rsidRPr="009A1BB0">
              <w:t xml:space="preserve"> ± </w:t>
            </w:r>
            <w:r w:rsidRPr="009A1BB0">
              <w:t>1,4</w:t>
            </w:r>
          </w:p>
        </w:tc>
        <w:tc>
          <w:tcPr>
            <w:tcW w:w="2610" w:type="dxa"/>
          </w:tcPr>
          <w:p w:rsidR="005A0BB0" w:rsidRPr="009A1BB0" w:rsidRDefault="00691C76" w:rsidP="005C63C9">
            <w:pPr>
              <w:rPr>
                <w:lang w:eastAsia="en-US"/>
              </w:rPr>
            </w:pPr>
            <w:r w:rsidRPr="009A1BB0">
              <w:t>7</w:t>
            </w:r>
            <w:r w:rsidR="005A0BB0" w:rsidRPr="009A1BB0">
              <w:t>4</w:t>
            </w:r>
            <w:r w:rsidR="001441B6" w:rsidRPr="009A1BB0">
              <w:t xml:space="preserve"> ± </w:t>
            </w:r>
            <w:r w:rsidR="005A0BB0" w:rsidRPr="009A1BB0">
              <w:t>2,3</w:t>
            </w:r>
            <w:r w:rsidRPr="009A1BB0">
              <w:t>*</w:t>
            </w:r>
          </w:p>
        </w:tc>
      </w:tr>
      <w:tr w:rsidR="005A0BB0" w:rsidRPr="009A1BB0" w:rsidTr="00AD42CB">
        <w:trPr>
          <w:trHeight w:val="20"/>
        </w:trPr>
        <w:tc>
          <w:tcPr>
            <w:tcW w:w="4125" w:type="dxa"/>
          </w:tcPr>
          <w:p w:rsidR="005A0BB0" w:rsidRPr="009A1BB0" w:rsidRDefault="005A0BB0" w:rsidP="00891D9C">
            <w:pPr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 w:rsidR="00D7393A">
              <w:t xml:space="preserve"> &gt; </w:t>
            </w:r>
            <w:r w:rsidRPr="009A1BB0">
              <w:t>4,0 ед.</w:t>
            </w:r>
            <w:r w:rsidR="00891D9C">
              <w:t xml:space="preserve"> </w:t>
            </w:r>
            <w:r w:rsidRPr="009A1BB0">
              <w:t>в теле желудка, %</w:t>
            </w:r>
          </w:p>
        </w:tc>
        <w:tc>
          <w:tcPr>
            <w:tcW w:w="2610" w:type="dxa"/>
          </w:tcPr>
          <w:p w:rsidR="005A0BB0" w:rsidRPr="009A1BB0" w:rsidRDefault="00691C76" w:rsidP="005C63C9">
            <w:pPr>
              <w:rPr>
                <w:lang w:eastAsia="en-US"/>
              </w:rPr>
            </w:pPr>
            <w:r w:rsidRPr="009A1BB0">
              <w:t>7</w:t>
            </w:r>
            <w:r w:rsidR="005A0BB0" w:rsidRPr="009A1BB0">
              <w:t>4</w:t>
            </w:r>
            <w:r w:rsidR="001441B6" w:rsidRPr="009A1BB0">
              <w:t xml:space="preserve"> ± </w:t>
            </w:r>
            <w:r w:rsidR="005A0BB0" w:rsidRPr="009A1BB0">
              <w:t>2,1</w:t>
            </w:r>
          </w:p>
        </w:tc>
        <w:tc>
          <w:tcPr>
            <w:tcW w:w="2610" w:type="dxa"/>
          </w:tcPr>
          <w:p w:rsidR="005A0BB0" w:rsidRPr="009A1BB0" w:rsidRDefault="00691C76" w:rsidP="005C63C9">
            <w:pPr>
              <w:rPr>
                <w:lang w:eastAsia="en-US"/>
              </w:rPr>
            </w:pPr>
            <w:r w:rsidRPr="009A1BB0">
              <w:t>65</w:t>
            </w:r>
            <w:r w:rsidR="001441B6" w:rsidRPr="009A1BB0">
              <w:t xml:space="preserve"> ± </w:t>
            </w:r>
            <w:r w:rsidR="005A0BB0" w:rsidRPr="009A1BB0">
              <w:t>2,2*</w:t>
            </w:r>
          </w:p>
        </w:tc>
      </w:tr>
      <w:tr w:rsidR="005A0BB0" w:rsidRPr="009A1BB0" w:rsidTr="00AD42CB">
        <w:trPr>
          <w:trHeight w:val="20"/>
        </w:trPr>
        <w:tc>
          <w:tcPr>
            <w:tcW w:w="4125" w:type="dxa"/>
          </w:tcPr>
          <w:p w:rsidR="005A0BB0" w:rsidRPr="009A1BB0" w:rsidRDefault="005A0BB0" w:rsidP="00891D9C">
            <w:pPr>
              <w:rPr>
                <w:lang w:eastAsia="en-US"/>
              </w:rPr>
            </w:pPr>
            <w:r w:rsidRPr="009A1BB0">
              <w:t xml:space="preserve">Длительность времени с </w:t>
            </w:r>
            <w:proofErr w:type="spellStart"/>
            <w:r w:rsidRPr="009A1BB0">
              <w:t>рН</w:t>
            </w:r>
            <w:proofErr w:type="spellEnd"/>
            <w:r w:rsidR="00D7393A">
              <w:t xml:space="preserve"> &gt; </w:t>
            </w:r>
            <w:r w:rsidRPr="009A1BB0">
              <w:t>5,0 ед.</w:t>
            </w:r>
            <w:r w:rsidR="00891D9C">
              <w:t xml:space="preserve"> </w:t>
            </w:r>
            <w:r w:rsidRPr="009A1BB0">
              <w:t>в теле желудка, %</w:t>
            </w:r>
          </w:p>
        </w:tc>
        <w:tc>
          <w:tcPr>
            <w:tcW w:w="2610" w:type="dxa"/>
          </w:tcPr>
          <w:p w:rsidR="005A0BB0" w:rsidRPr="009A1BB0" w:rsidRDefault="00691C76" w:rsidP="005C63C9">
            <w:pPr>
              <w:rPr>
                <w:lang w:eastAsia="en-US"/>
              </w:rPr>
            </w:pPr>
            <w:r w:rsidRPr="009A1BB0">
              <w:t>68</w:t>
            </w:r>
            <w:r w:rsidR="001441B6" w:rsidRPr="009A1BB0">
              <w:t xml:space="preserve"> ± </w:t>
            </w:r>
            <w:r w:rsidR="005A0BB0" w:rsidRPr="009A1BB0">
              <w:t>2,1</w:t>
            </w:r>
          </w:p>
        </w:tc>
        <w:tc>
          <w:tcPr>
            <w:tcW w:w="2610" w:type="dxa"/>
          </w:tcPr>
          <w:p w:rsidR="005A0BB0" w:rsidRPr="009A1BB0" w:rsidRDefault="005A0BB0" w:rsidP="005C63C9">
            <w:pPr>
              <w:rPr>
                <w:lang w:eastAsia="en-US"/>
              </w:rPr>
            </w:pPr>
            <w:r w:rsidRPr="009A1BB0">
              <w:t>57</w:t>
            </w:r>
            <w:r w:rsidR="001441B6" w:rsidRPr="009A1BB0">
              <w:t xml:space="preserve"> ± </w:t>
            </w:r>
            <w:r w:rsidRPr="009A1BB0">
              <w:t>2,4*</w:t>
            </w:r>
          </w:p>
        </w:tc>
      </w:tr>
    </w:tbl>
    <w:p w:rsidR="0084255C" w:rsidRPr="009A1BB0" w:rsidRDefault="00E127C0" w:rsidP="005C63C9">
      <w:pPr>
        <w:spacing w:line="360" w:lineRule="auto"/>
        <w:ind w:firstLine="709"/>
        <w:rPr>
          <w:sz w:val="24"/>
          <w:szCs w:val="24"/>
        </w:rPr>
      </w:pPr>
      <w:r w:rsidRPr="009A1BB0">
        <w:rPr>
          <w:i/>
          <w:sz w:val="24"/>
          <w:szCs w:val="24"/>
        </w:rPr>
        <w:t>Примечание:</w:t>
      </w:r>
      <w:r w:rsidRPr="009A1BB0">
        <w:rPr>
          <w:sz w:val="24"/>
          <w:szCs w:val="24"/>
        </w:rPr>
        <w:t xml:space="preserve"> * </w:t>
      </w:r>
      <w:r w:rsidR="00B8494F" w:rsidRPr="009A1BB0">
        <w:rPr>
          <w:sz w:val="24"/>
          <w:szCs w:val="24"/>
        </w:rPr>
        <w:t>–</w:t>
      </w:r>
      <w:r w:rsidRPr="009A1BB0">
        <w:rPr>
          <w:sz w:val="24"/>
          <w:szCs w:val="24"/>
        </w:rPr>
        <w:t xml:space="preserve"> различи</w:t>
      </w:r>
      <w:r w:rsidR="0084255C" w:rsidRPr="009A1BB0">
        <w:rPr>
          <w:sz w:val="24"/>
          <w:szCs w:val="24"/>
        </w:rPr>
        <w:t>е</w:t>
      </w:r>
      <w:r w:rsidRPr="009A1BB0">
        <w:rPr>
          <w:sz w:val="24"/>
          <w:szCs w:val="24"/>
        </w:rPr>
        <w:t xml:space="preserve"> между вариантами течения ЯБДК по данному показателю статистически значимо (</w:t>
      </w:r>
      <w:proofErr w:type="spellStart"/>
      <w:proofErr w:type="gramStart"/>
      <w:r w:rsidRPr="009A1BB0">
        <w:rPr>
          <w:sz w:val="24"/>
          <w:szCs w:val="24"/>
        </w:rPr>
        <w:t>р</w:t>
      </w:r>
      <w:proofErr w:type="spellEnd"/>
      <w:proofErr w:type="gramEnd"/>
      <w:r w:rsidR="00B8494F" w:rsidRPr="009A1BB0">
        <w:rPr>
          <w:sz w:val="24"/>
          <w:szCs w:val="24"/>
        </w:rPr>
        <w:t xml:space="preserve"> &lt; </w:t>
      </w:r>
      <w:r w:rsidRPr="009A1BB0">
        <w:rPr>
          <w:sz w:val="24"/>
          <w:szCs w:val="24"/>
        </w:rPr>
        <w:t>0,05)</w:t>
      </w:r>
      <w:r w:rsidR="00691C76" w:rsidRPr="009A1BB0">
        <w:rPr>
          <w:sz w:val="24"/>
          <w:szCs w:val="24"/>
        </w:rPr>
        <w:t>.</w:t>
      </w:r>
    </w:p>
    <w:p w:rsidR="002241EF" w:rsidRPr="009A1BB0" w:rsidRDefault="002241EF" w:rsidP="005C63C9">
      <w:pPr>
        <w:spacing w:line="360" w:lineRule="auto"/>
        <w:ind w:firstLine="709"/>
        <w:rPr>
          <w:sz w:val="24"/>
          <w:szCs w:val="24"/>
        </w:rPr>
      </w:pPr>
    </w:p>
    <w:sectPr w:rsidR="002241EF" w:rsidRPr="009A1BB0" w:rsidSect="005C63C9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B4" w:rsidRDefault="00B76FB4">
      <w:r>
        <w:separator/>
      </w:r>
    </w:p>
  </w:endnote>
  <w:endnote w:type="continuationSeparator" w:id="0">
    <w:p w:rsidR="00B76FB4" w:rsidRDefault="00B7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D9" w:rsidRDefault="00651B60" w:rsidP="003E1D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3E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3ED9" w:rsidRDefault="00FC3ED9" w:rsidP="008779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D9" w:rsidRDefault="00651B60" w:rsidP="003E1D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3E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465">
      <w:rPr>
        <w:rStyle w:val="a6"/>
        <w:noProof/>
      </w:rPr>
      <w:t>5</w:t>
    </w:r>
    <w:r>
      <w:rPr>
        <w:rStyle w:val="a6"/>
      </w:rPr>
      <w:fldChar w:fldCharType="end"/>
    </w:r>
  </w:p>
  <w:p w:rsidR="00FC3ED9" w:rsidRDefault="00FC3ED9" w:rsidP="008779B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B4" w:rsidRDefault="00B76FB4">
      <w:r>
        <w:separator/>
      </w:r>
    </w:p>
  </w:footnote>
  <w:footnote w:type="continuationSeparator" w:id="0">
    <w:p w:rsidR="00B76FB4" w:rsidRDefault="00B7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71A3"/>
    <w:multiLevelType w:val="hybridMultilevel"/>
    <w:tmpl w:val="01EE5030"/>
    <w:lvl w:ilvl="0" w:tplc="54CA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E9019F"/>
    <w:multiLevelType w:val="hybridMultilevel"/>
    <w:tmpl w:val="5162B2F0"/>
    <w:lvl w:ilvl="0" w:tplc="B404725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127C0"/>
    <w:rsid w:val="00013913"/>
    <w:rsid w:val="00027CD3"/>
    <w:rsid w:val="00042C16"/>
    <w:rsid w:val="00064BEF"/>
    <w:rsid w:val="0006549C"/>
    <w:rsid w:val="00072D3D"/>
    <w:rsid w:val="000E1BB8"/>
    <w:rsid w:val="000F1636"/>
    <w:rsid w:val="001441B6"/>
    <w:rsid w:val="0015117E"/>
    <w:rsid w:val="00193A9B"/>
    <w:rsid w:val="001B7193"/>
    <w:rsid w:val="001C030F"/>
    <w:rsid w:val="001D7BDB"/>
    <w:rsid w:val="001F5B2C"/>
    <w:rsid w:val="0021674D"/>
    <w:rsid w:val="002241EF"/>
    <w:rsid w:val="0023356D"/>
    <w:rsid w:val="002370A9"/>
    <w:rsid w:val="00272261"/>
    <w:rsid w:val="002A31D9"/>
    <w:rsid w:val="002A4EC6"/>
    <w:rsid w:val="00316882"/>
    <w:rsid w:val="00326DA8"/>
    <w:rsid w:val="003736E1"/>
    <w:rsid w:val="00382559"/>
    <w:rsid w:val="00395950"/>
    <w:rsid w:val="003A0173"/>
    <w:rsid w:val="003E1D8B"/>
    <w:rsid w:val="004108C0"/>
    <w:rsid w:val="0042430B"/>
    <w:rsid w:val="004C1345"/>
    <w:rsid w:val="00530A09"/>
    <w:rsid w:val="005A0BB0"/>
    <w:rsid w:val="005C26F3"/>
    <w:rsid w:val="005C63C9"/>
    <w:rsid w:val="005D0C5D"/>
    <w:rsid w:val="005E51B1"/>
    <w:rsid w:val="005E5A8D"/>
    <w:rsid w:val="005F74B4"/>
    <w:rsid w:val="0062258B"/>
    <w:rsid w:val="00651B60"/>
    <w:rsid w:val="00691C76"/>
    <w:rsid w:val="006A3F37"/>
    <w:rsid w:val="006B3739"/>
    <w:rsid w:val="006D0E10"/>
    <w:rsid w:val="006E08DA"/>
    <w:rsid w:val="006F2F85"/>
    <w:rsid w:val="00721BC3"/>
    <w:rsid w:val="0075166F"/>
    <w:rsid w:val="007978EC"/>
    <w:rsid w:val="007D155B"/>
    <w:rsid w:val="0084255C"/>
    <w:rsid w:val="008779BA"/>
    <w:rsid w:val="00891D9C"/>
    <w:rsid w:val="00897F9D"/>
    <w:rsid w:val="008B55F6"/>
    <w:rsid w:val="008D3DE7"/>
    <w:rsid w:val="008E5800"/>
    <w:rsid w:val="0096610E"/>
    <w:rsid w:val="009A1BB0"/>
    <w:rsid w:val="009A62A5"/>
    <w:rsid w:val="009D41C8"/>
    <w:rsid w:val="009D6354"/>
    <w:rsid w:val="00A60465"/>
    <w:rsid w:val="00A84E3D"/>
    <w:rsid w:val="00AC71EE"/>
    <w:rsid w:val="00AD42CB"/>
    <w:rsid w:val="00B14178"/>
    <w:rsid w:val="00B44BC5"/>
    <w:rsid w:val="00B465F6"/>
    <w:rsid w:val="00B76FB4"/>
    <w:rsid w:val="00B8494F"/>
    <w:rsid w:val="00BF6220"/>
    <w:rsid w:val="00C911AE"/>
    <w:rsid w:val="00CA2F9F"/>
    <w:rsid w:val="00CC4517"/>
    <w:rsid w:val="00CD7108"/>
    <w:rsid w:val="00D02A38"/>
    <w:rsid w:val="00D70E0C"/>
    <w:rsid w:val="00D7393A"/>
    <w:rsid w:val="00DB2BC3"/>
    <w:rsid w:val="00E127C0"/>
    <w:rsid w:val="00E21910"/>
    <w:rsid w:val="00E7018D"/>
    <w:rsid w:val="00E86439"/>
    <w:rsid w:val="00EC3815"/>
    <w:rsid w:val="00EF5D99"/>
    <w:rsid w:val="00F50591"/>
    <w:rsid w:val="00F8343B"/>
    <w:rsid w:val="00FC3ED9"/>
    <w:rsid w:val="00FD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7C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2241EF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2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127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8779B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72261"/>
  </w:style>
  <w:style w:type="character" w:styleId="a6">
    <w:name w:val="page number"/>
    <w:basedOn w:val="a0"/>
    <w:uiPriority w:val="99"/>
    <w:rsid w:val="008779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2523</Words>
  <Characters>14383</Characters>
  <Application>Microsoft Office Word</Application>
  <DocSecurity>0</DocSecurity>
  <Lines>119</Lines>
  <Paragraphs>33</Paragraphs>
  <ScaleCrop>false</ScaleCrop>
  <Company>Home</Company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Home</cp:lastModifiedBy>
  <cp:revision>5</cp:revision>
  <cp:lastPrinted>2012-05-25T09:53:00Z</cp:lastPrinted>
  <dcterms:created xsi:type="dcterms:W3CDTF">2012-11-02T05:29:00Z</dcterms:created>
  <dcterms:modified xsi:type="dcterms:W3CDTF">2014-03-09T07:44:00Z</dcterms:modified>
</cp:coreProperties>
</file>