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footer2.xml" ContentType="application/vnd.openxmlformats-officedocument.wordprocessingml.footer+xml"/>
  <Default Extension="gif" ContentType="image/gif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21B" w:rsidRPr="00276F54" w:rsidRDefault="00AA6739" w:rsidP="00276F54">
      <w:pPr>
        <w:jc w:val="both"/>
        <w:rPr>
          <w:sz w:val="28"/>
          <w:szCs w:val="28"/>
        </w:rPr>
      </w:pPr>
      <w:r w:rsidRPr="00276F54">
        <w:rPr>
          <w:sz w:val="28"/>
          <w:szCs w:val="28"/>
        </w:rPr>
        <w:t>УДК 616.153.915-008.61</w:t>
      </w:r>
    </w:p>
    <w:p w:rsidR="00A2121B" w:rsidRPr="00276F54" w:rsidRDefault="00AA6739" w:rsidP="00276F54">
      <w:pPr>
        <w:jc w:val="both"/>
        <w:rPr>
          <w:sz w:val="28"/>
          <w:szCs w:val="28"/>
        </w:rPr>
      </w:pPr>
      <w:r w:rsidRPr="00276F54">
        <w:rPr>
          <w:sz w:val="28"/>
          <w:szCs w:val="28"/>
        </w:rPr>
        <w:t xml:space="preserve">М.Н. Калинкин, В.С. Волков </w:t>
      </w:r>
    </w:p>
    <w:p w:rsidR="00A2121B" w:rsidRPr="00276F54" w:rsidRDefault="00AA6739" w:rsidP="00276F54">
      <w:pPr>
        <w:jc w:val="both"/>
        <w:rPr>
          <w:b/>
          <w:sz w:val="28"/>
          <w:szCs w:val="28"/>
        </w:rPr>
      </w:pPr>
      <w:r w:rsidRPr="00276F54">
        <w:rPr>
          <w:b/>
          <w:sz w:val="28"/>
          <w:szCs w:val="28"/>
        </w:rPr>
        <w:t xml:space="preserve">О </w:t>
      </w:r>
      <w:r w:rsidR="002A1125" w:rsidRPr="00276F54">
        <w:rPr>
          <w:b/>
          <w:sz w:val="28"/>
          <w:szCs w:val="28"/>
        </w:rPr>
        <w:t xml:space="preserve">клиническом значении </w:t>
      </w:r>
      <w:proofErr w:type="spellStart"/>
      <w:r w:rsidRPr="00276F54">
        <w:rPr>
          <w:b/>
          <w:sz w:val="28"/>
          <w:szCs w:val="28"/>
        </w:rPr>
        <w:t>патоаутокинез</w:t>
      </w:r>
      <w:r w:rsidR="002A1125">
        <w:rPr>
          <w:b/>
          <w:sz w:val="28"/>
          <w:szCs w:val="28"/>
        </w:rPr>
        <w:t>а</w:t>
      </w:r>
      <w:proofErr w:type="spellEnd"/>
      <w:r w:rsidRPr="00276F54">
        <w:rPr>
          <w:b/>
          <w:sz w:val="28"/>
          <w:szCs w:val="28"/>
        </w:rPr>
        <w:t xml:space="preserve"> </w:t>
      </w:r>
      <w:proofErr w:type="spellStart"/>
      <w:r w:rsidRPr="00276F54">
        <w:rPr>
          <w:b/>
          <w:sz w:val="28"/>
          <w:szCs w:val="28"/>
        </w:rPr>
        <w:t>гиперлипопротеидемии</w:t>
      </w:r>
      <w:proofErr w:type="spellEnd"/>
      <w:r w:rsidRPr="00276F54">
        <w:rPr>
          <w:b/>
          <w:sz w:val="28"/>
          <w:szCs w:val="28"/>
        </w:rPr>
        <w:t xml:space="preserve"> </w:t>
      </w:r>
    </w:p>
    <w:p w:rsidR="00276F54" w:rsidRPr="00153F6F" w:rsidRDefault="00276F54" w:rsidP="00276F54">
      <w:pPr>
        <w:spacing w:line="276" w:lineRule="auto"/>
        <w:jc w:val="both"/>
        <w:rPr>
          <w:bCs/>
          <w:sz w:val="28"/>
          <w:szCs w:val="28"/>
        </w:rPr>
      </w:pPr>
      <w:r w:rsidRPr="00153F6F">
        <w:rPr>
          <w:bCs/>
          <w:sz w:val="28"/>
          <w:szCs w:val="28"/>
        </w:rPr>
        <w:t xml:space="preserve">ГБОУ ВПО </w:t>
      </w:r>
      <w:proofErr w:type="gramStart"/>
      <w:r w:rsidRPr="00153F6F">
        <w:rPr>
          <w:bCs/>
          <w:sz w:val="28"/>
          <w:szCs w:val="28"/>
        </w:rPr>
        <w:t>Тверская</w:t>
      </w:r>
      <w:proofErr w:type="gramEnd"/>
      <w:r w:rsidRPr="00153F6F">
        <w:rPr>
          <w:bCs/>
          <w:sz w:val="28"/>
          <w:szCs w:val="28"/>
        </w:rPr>
        <w:t xml:space="preserve"> ГМА Минздрава России</w:t>
      </w:r>
    </w:p>
    <w:p w:rsidR="00A2121B" w:rsidRPr="00276F54" w:rsidRDefault="00A2121B" w:rsidP="00276F54">
      <w:pPr>
        <w:jc w:val="both"/>
        <w:rPr>
          <w:sz w:val="28"/>
          <w:szCs w:val="28"/>
        </w:rPr>
      </w:pPr>
    </w:p>
    <w:p w:rsidR="00A2121B" w:rsidRPr="00276F54" w:rsidRDefault="00AA6739" w:rsidP="00276F54">
      <w:pPr>
        <w:jc w:val="both"/>
        <w:rPr>
          <w:i/>
          <w:sz w:val="28"/>
          <w:szCs w:val="28"/>
        </w:rPr>
      </w:pPr>
      <w:r w:rsidRPr="00276F54">
        <w:rPr>
          <w:b/>
          <w:sz w:val="28"/>
          <w:szCs w:val="28"/>
        </w:rPr>
        <w:tab/>
      </w:r>
      <w:r w:rsidRPr="00276F54">
        <w:rPr>
          <w:b/>
          <w:i/>
          <w:sz w:val="28"/>
          <w:szCs w:val="28"/>
        </w:rPr>
        <w:t xml:space="preserve">Цель. </w:t>
      </w:r>
      <w:r w:rsidRPr="00276F54">
        <w:rPr>
          <w:i/>
          <w:sz w:val="28"/>
          <w:szCs w:val="28"/>
        </w:rPr>
        <w:t xml:space="preserve">В опытах на </w:t>
      </w:r>
      <w:proofErr w:type="spellStart"/>
      <w:r w:rsidRPr="00276F54">
        <w:rPr>
          <w:i/>
          <w:sz w:val="28"/>
          <w:szCs w:val="28"/>
        </w:rPr>
        <w:t>интактных</w:t>
      </w:r>
      <w:proofErr w:type="spellEnd"/>
      <w:r w:rsidRPr="00276F54">
        <w:rPr>
          <w:i/>
          <w:sz w:val="28"/>
          <w:szCs w:val="28"/>
        </w:rPr>
        <w:t xml:space="preserve"> и кроликах после длительного внутривенного введения липопротеидов (ЛП) выявить наличие признаков </w:t>
      </w:r>
      <w:proofErr w:type="spellStart"/>
      <w:r w:rsidRPr="00276F54">
        <w:rPr>
          <w:i/>
          <w:sz w:val="28"/>
          <w:szCs w:val="28"/>
        </w:rPr>
        <w:t>патоаутокинеза</w:t>
      </w:r>
      <w:proofErr w:type="spellEnd"/>
      <w:r w:rsidRPr="00276F54">
        <w:rPr>
          <w:i/>
          <w:sz w:val="28"/>
          <w:szCs w:val="28"/>
        </w:rPr>
        <w:t xml:space="preserve"> в развитии и поддержании  </w:t>
      </w:r>
      <w:proofErr w:type="spellStart"/>
      <w:r w:rsidRPr="00276F54">
        <w:rPr>
          <w:i/>
          <w:sz w:val="28"/>
          <w:szCs w:val="28"/>
        </w:rPr>
        <w:t>гиперлипопротеидемии</w:t>
      </w:r>
      <w:proofErr w:type="spellEnd"/>
      <w:r w:rsidRPr="00276F54">
        <w:rPr>
          <w:i/>
          <w:sz w:val="28"/>
          <w:szCs w:val="28"/>
        </w:rPr>
        <w:t xml:space="preserve"> (ГЛП).</w:t>
      </w:r>
    </w:p>
    <w:p w:rsidR="00A2121B" w:rsidRPr="00276F54" w:rsidRDefault="00AA6739" w:rsidP="00276F54">
      <w:pPr>
        <w:jc w:val="both"/>
        <w:rPr>
          <w:i/>
          <w:sz w:val="28"/>
          <w:szCs w:val="28"/>
        </w:rPr>
      </w:pPr>
      <w:r w:rsidRPr="00276F54">
        <w:rPr>
          <w:i/>
          <w:sz w:val="28"/>
          <w:szCs w:val="28"/>
        </w:rPr>
        <w:tab/>
      </w:r>
      <w:r w:rsidRPr="00276F54">
        <w:rPr>
          <w:b/>
          <w:i/>
          <w:sz w:val="28"/>
          <w:szCs w:val="28"/>
        </w:rPr>
        <w:t>Материал и методы</w:t>
      </w:r>
      <w:r w:rsidRPr="00276F54">
        <w:rPr>
          <w:i/>
          <w:sz w:val="28"/>
          <w:szCs w:val="28"/>
        </w:rPr>
        <w:t xml:space="preserve">. Проведено 3 серии экспериментов на кроликах, получавших в течение 60 дней внутривенно гомологичные </w:t>
      </w:r>
      <w:proofErr w:type="spellStart"/>
      <w:r w:rsidRPr="00276F54">
        <w:rPr>
          <w:i/>
          <w:sz w:val="28"/>
          <w:szCs w:val="28"/>
        </w:rPr>
        <w:t>апо-В-содержащие</w:t>
      </w:r>
      <w:proofErr w:type="spellEnd"/>
      <w:r w:rsidRPr="00276F54">
        <w:rPr>
          <w:i/>
          <w:sz w:val="28"/>
          <w:szCs w:val="28"/>
        </w:rPr>
        <w:t xml:space="preserve"> ЛП (25-30 мг ЛП на 1 кг массы тела). Изучалось соответствие расчетных и истинных величин введенных ЛП, длительность сохранения ГЛП после завершения введения ЛП и реакция организма на однократное введение </w:t>
      </w:r>
      <w:proofErr w:type="spellStart"/>
      <w:r w:rsidRPr="00276F54">
        <w:rPr>
          <w:i/>
          <w:sz w:val="28"/>
          <w:szCs w:val="28"/>
        </w:rPr>
        <w:t>интерлипина</w:t>
      </w:r>
      <w:proofErr w:type="spellEnd"/>
      <w:r w:rsidRPr="00276F54">
        <w:rPr>
          <w:i/>
          <w:sz w:val="28"/>
          <w:szCs w:val="28"/>
        </w:rPr>
        <w:t xml:space="preserve">, а также характер элиминации из крови меченых </w:t>
      </w:r>
      <w:r w:rsidRPr="00276F54">
        <w:rPr>
          <w:i/>
          <w:sz w:val="28"/>
          <w:szCs w:val="28"/>
          <w:lang w:val="en-US"/>
        </w:rPr>
        <w:t>J</w:t>
      </w:r>
      <w:r w:rsidRPr="00276F54">
        <w:rPr>
          <w:i/>
          <w:sz w:val="28"/>
          <w:szCs w:val="28"/>
        </w:rPr>
        <w:t xml:space="preserve"> 131 </w:t>
      </w:r>
      <w:proofErr w:type="spellStart"/>
      <w:r w:rsidRPr="00276F54">
        <w:rPr>
          <w:i/>
          <w:sz w:val="28"/>
          <w:szCs w:val="28"/>
        </w:rPr>
        <w:t>апо-В-ЛП</w:t>
      </w:r>
      <w:proofErr w:type="spellEnd"/>
      <w:r w:rsidRPr="00276F54">
        <w:rPr>
          <w:i/>
          <w:sz w:val="28"/>
          <w:szCs w:val="28"/>
        </w:rPr>
        <w:t xml:space="preserve">, изменение </w:t>
      </w:r>
      <w:proofErr w:type="spellStart"/>
      <w:r w:rsidRPr="00276F54">
        <w:rPr>
          <w:i/>
          <w:sz w:val="28"/>
          <w:szCs w:val="28"/>
        </w:rPr>
        <w:t>гомогенатов</w:t>
      </w:r>
      <w:proofErr w:type="spellEnd"/>
      <w:r w:rsidRPr="00276F54">
        <w:rPr>
          <w:i/>
          <w:sz w:val="28"/>
          <w:szCs w:val="28"/>
        </w:rPr>
        <w:t xml:space="preserve"> печени.</w:t>
      </w:r>
    </w:p>
    <w:p w:rsidR="00A2121B" w:rsidRPr="00276F54" w:rsidRDefault="00AA6739" w:rsidP="00276F54">
      <w:pPr>
        <w:jc w:val="both"/>
        <w:rPr>
          <w:i/>
          <w:sz w:val="28"/>
          <w:szCs w:val="28"/>
        </w:rPr>
      </w:pPr>
      <w:r w:rsidRPr="00276F54">
        <w:rPr>
          <w:i/>
          <w:sz w:val="28"/>
          <w:szCs w:val="28"/>
        </w:rPr>
        <w:tab/>
      </w:r>
      <w:r w:rsidRPr="00276F54">
        <w:rPr>
          <w:b/>
          <w:i/>
          <w:sz w:val="28"/>
          <w:szCs w:val="28"/>
        </w:rPr>
        <w:t>Результаты</w:t>
      </w:r>
      <w:r w:rsidRPr="00276F54">
        <w:rPr>
          <w:i/>
          <w:sz w:val="28"/>
          <w:szCs w:val="28"/>
        </w:rPr>
        <w:t xml:space="preserve">. Показано, что у 50% кроликов </w:t>
      </w:r>
      <w:proofErr w:type="gramStart"/>
      <w:r w:rsidRPr="00276F54">
        <w:rPr>
          <w:i/>
          <w:sz w:val="28"/>
          <w:szCs w:val="28"/>
        </w:rPr>
        <w:t>экспериментальной</w:t>
      </w:r>
      <w:proofErr w:type="gramEnd"/>
      <w:r w:rsidRPr="00276F54">
        <w:rPr>
          <w:i/>
          <w:sz w:val="28"/>
          <w:szCs w:val="28"/>
        </w:rPr>
        <w:t xml:space="preserve"> ГЛП фактические величины </w:t>
      </w:r>
      <w:proofErr w:type="gramStart"/>
      <w:r w:rsidRPr="00276F54">
        <w:rPr>
          <w:i/>
          <w:sz w:val="28"/>
          <w:szCs w:val="28"/>
        </w:rPr>
        <w:t>введенных</w:t>
      </w:r>
      <w:proofErr w:type="gramEnd"/>
      <w:r w:rsidRPr="00276F54">
        <w:rPr>
          <w:i/>
          <w:sz w:val="28"/>
          <w:szCs w:val="28"/>
        </w:rPr>
        <w:t xml:space="preserve"> внутривенно ЛП выше расчетных. У кроликов после окончания введения ЛП, </w:t>
      </w:r>
      <w:proofErr w:type="gramStart"/>
      <w:r w:rsidRPr="00276F54">
        <w:rPr>
          <w:i/>
          <w:sz w:val="28"/>
          <w:szCs w:val="28"/>
        </w:rPr>
        <w:t>возникшая</w:t>
      </w:r>
      <w:proofErr w:type="gramEnd"/>
      <w:r w:rsidRPr="00276F54">
        <w:rPr>
          <w:i/>
          <w:sz w:val="28"/>
          <w:szCs w:val="28"/>
        </w:rPr>
        <w:t xml:space="preserve"> ГЛП длится 30-40 дней, а введение </w:t>
      </w:r>
      <w:proofErr w:type="spellStart"/>
      <w:r w:rsidRPr="00276F54">
        <w:rPr>
          <w:i/>
          <w:sz w:val="28"/>
          <w:szCs w:val="28"/>
        </w:rPr>
        <w:t>интралипида</w:t>
      </w:r>
      <w:proofErr w:type="spellEnd"/>
      <w:r w:rsidRPr="00276F54">
        <w:rPr>
          <w:i/>
          <w:sz w:val="28"/>
          <w:szCs w:val="28"/>
        </w:rPr>
        <w:t xml:space="preserve"> индуцирует длительную ГЛП. Показатели радиоактивности плазменных ЛП при ГЛП свидетельствуют о затруднении элиминации их из крови и накопление их в печени.</w:t>
      </w:r>
    </w:p>
    <w:p w:rsidR="00A2121B" w:rsidRPr="00276F54" w:rsidRDefault="00AA6739" w:rsidP="00276F54">
      <w:pPr>
        <w:ind w:firstLine="708"/>
        <w:jc w:val="both"/>
        <w:rPr>
          <w:i/>
          <w:sz w:val="28"/>
          <w:szCs w:val="28"/>
        </w:rPr>
      </w:pPr>
      <w:r w:rsidRPr="00276F54">
        <w:rPr>
          <w:b/>
          <w:i/>
          <w:sz w:val="28"/>
          <w:szCs w:val="28"/>
        </w:rPr>
        <w:t>Заключение</w:t>
      </w:r>
      <w:r w:rsidRPr="00276F54">
        <w:rPr>
          <w:i/>
          <w:sz w:val="28"/>
          <w:szCs w:val="28"/>
        </w:rPr>
        <w:t xml:space="preserve">. В развитии и поддержании ГЛП присутствуют механизмы </w:t>
      </w:r>
      <w:proofErr w:type="spellStart"/>
      <w:r w:rsidRPr="00276F54">
        <w:rPr>
          <w:i/>
          <w:sz w:val="28"/>
          <w:szCs w:val="28"/>
        </w:rPr>
        <w:t>патоаутокинеза</w:t>
      </w:r>
      <w:proofErr w:type="spellEnd"/>
      <w:r w:rsidRPr="00276F54">
        <w:rPr>
          <w:i/>
          <w:sz w:val="28"/>
          <w:szCs w:val="28"/>
        </w:rPr>
        <w:t>.</w:t>
      </w:r>
    </w:p>
    <w:p w:rsidR="00A2121B" w:rsidRPr="00276F54" w:rsidRDefault="00AA6739" w:rsidP="00276F54">
      <w:pPr>
        <w:ind w:firstLine="708"/>
        <w:jc w:val="both"/>
        <w:rPr>
          <w:i/>
          <w:sz w:val="28"/>
          <w:szCs w:val="28"/>
          <w:lang w:val="en-US"/>
        </w:rPr>
      </w:pPr>
      <w:r w:rsidRPr="00276F54">
        <w:rPr>
          <w:b/>
          <w:i/>
          <w:sz w:val="28"/>
          <w:szCs w:val="28"/>
        </w:rPr>
        <w:t>Ключевые</w:t>
      </w:r>
      <w:r w:rsidRPr="00276F54">
        <w:rPr>
          <w:b/>
          <w:i/>
          <w:sz w:val="28"/>
          <w:szCs w:val="28"/>
          <w:lang w:val="en-US"/>
        </w:rPr>
        <w:t xml:space="preserve"> </w:t>
      </w:r>
      <w:r w:rsidRPr="00276F54">
        <w:rPr>
          <w:b/>
          <w:i/>
          <w:sz w:val="28"/>
          <w:szCs w:val="28"/>
        </w:rPr>
        <w:t>слова</w:t>
      </w:r>
      <w:r w:rsidRPr="00276F54">
        <w:rPr>
          <w:i/>
          <w:sz w:val="28"/>
          <w:szCs w:val="28"/>
          <w:lang w:val="en-US"/>
        </w:rPr>
        <w:t xml:space="preserve">: </w:t>
      </w:r>
      <w:proofErr w:type="spellStart"/>
      <w:r w:rsidRPr="00276F54">
        <w:rPr>
          <w:i/>
          <w:sz w:val="28"/>
          <w:szCs w:val="28"/>
        </w:rPr>
        <w:t>Патоаутокинез</w:t>
      </w:r>
      <w:proofErr w:type="spellEnd"/>
      <w:r w:rsidRPr="00276F54">
        <w:rPr>
          <w:i/>
          <w:sz w:val="28"/>
          <w:szCs w:val="28"/>
          <w:lang w:val="en-US"/>
        </w:rPr>
        <w:t xml:space="preserve">, </w:t>
      </w:r>
      <w:proofErr w:type="spellStart"/>
      <w:r w:rsidRPr="00276F54">
        <w:rPr>
          <w:i/>
          <w:sz w:val="28"/>
          <w:szCs w:val="28"/>
        </w:rPr>
        <w:t>гиперлипопротеидемия</w:t>
      </w:r>
      <w:proofErr w:type="spellEnd"/>
      <w:r w:rsidRPr="00276F54">
        <w:rPr>
          <w:i/>
          <w:sz w:val="28"/>
          <w:szCs w:val="28"/>
          <w:lang w:val="en-US"/>
        </w:rPr>
        <w:t>.</w:t>
      </w:r>
    </w:p>
    <w:p w:rsidR="00A2121B" w:rsidRPr="00276F54" w:rsidRDefault="00A2121B" w:rsidP="00276F54">
      <w:pPr>
        <w:ind w:firstLine="708"/>
        <w:jc w:val="both"/>
        <w:rPr>
          <w:sz w:val="28"/>
          <w:szCs w:val="28"/>
          <w:lang w:val="en-US"/>
        </w:rPr>
      </w:pPr>
    </w:p>
    <w:p w:rsidR="00A2121B" w:rsidRPr="00276F54" w:rsidRDefault="002A1125" w:rsidP="00276F54">
      <w:pPr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C</w:t>
      </w:r>
      <w:r w:rsidRPr="00276F54">
        <w:rPr>
          <w:b/>
          <w:sz w:val="28"/>
          <w:szCs w:val="28"/>
          <w:lang w:val="en-US"/>
        </w:rPr>
        <w:t xml:space="preserve">linical significance </w:t>
      </w:r>
      <w:r>
        <w:rPr>
          <w:b/>
          <w:sz w:val="28"/>
          <w:szCs w:val="28"/>
          <w:lang w:val="en-US"/>
        </w:rPr>
        <w:t xml:space="preserve">of </w:t>
      </w:r>
      <w:proofErr w:type="spellStart"/>
      <w:r w:rsidR="00AA6739" w:rsidRPr="00276F54">
        <w:rPr>
          <w:b/>
          <w:sz w:val="28"/>
          <w:szCs w:val="28"/>
          <w:lang w:val="en-US"/>
        </w:rPr>
        <w:t>pathoautokinesis</w:t>
      </w:r>
      <w:proofErr w:type="spellEnd"/>
      <w:r w:rsidR="00AA6739" w:rsidRPr="00276F54">
        <w:rPr>
          <w:b/>
          <w:sz w:val="28"/>
          <w:szCs w:val="28"/>
          <w:lang w:val="en-US"/>
        </w:rPr>
        <w:t xml:space="preserve"> of </w:t>
      </w:r>
      <w:proofErr w:type="spellStart"/>
      <w:r w:rsidR="00AA6739" w:rsidRPr="00276F54">
        <w:rPr>
          <w:b/>
          <w:sz w:val="28"/>
          <w:szCs w:val="28"/>
          <w:lang w:val="en-US"/>
        </w:rPr>
        <w:t>hyperlipoproteidemia</w:t>
      </w:r>
      <w:proofErr w:type="spellEnd"/>
      <w:r w:rsidR="00AA6739" w:rsidRPr="00276F54">
        <w:rPr>
          <w:b/>
          <w:sz w:val="28"/>
          <w:szCs w:val="28"/>
          <w:lang w:val="en-US"/>
        </w:rPr>
        <w:t xml:space="preserve"> </w:t>
      </w:r>
    </w:p>
    <w:p w:rsidR="00A2121B" w:rsidRPr="00276F54" w:rsidRDefault="00AA6739" w:rsidP="00276F54">
      <w:pPr>
        <w:jc w:val="both"/>
        <w:rPr>
          <w:sz w:val="28"/>
          <w:szCs w:val="28"/>
          <w:lang w:val="en-US"/>
        </w:rPr>
      </w:pPr>
      <w:r w:rsidRPr="00276F54">
        <w:rPr>
          <w:sz w:val="28"/>
          <w:szCs w:val="28"/>
          <w:lang w:val="en-US"/>
        </w:rPr>
        <w:t xml:space="preserve">M.N. </w:t>
      </w:r>
      <w:proofErr w:type="spellStart"/>
      <w:r w:rsidRPr="00276F54">
        <w:rPr>
          <w:sz w:val="28"/>
          <w:szCs w:val="28"/>
          <w:lang w:val="en-US"/>
        </w:rPr>
        <w:t>Kalinkin</w:t>
      </w:r>
      <w:proofErr w:type="spellEnd"/>
      <w:r w:rsidRPr="00276F54">
        <w:rPr>
          <w:sz w:val="28"/>
          <w:szCs w:val="28"/>
          <w:lang w:val="en-US"/>
        </w:rPr>
        <w:t xml:space="preserve">, V.S. </w:t>
      </w:r>
      <w:proofErr w:type="spellStart"/>
      <w:r w:rsidRPr="00276F54">
        <w:rPr>
          <w:sz w:val="28"/>
          <w:szCs w:val="28"/>
          <w:lang w:val="en-US"/>
        </w:rPr>
        <w:t>Volkov</w:t>
      </w:r>
      <w:proofErr w:type="spellEnd"/>
    </w:p>
    <w:p w:rsidR="00276F54" w:rsidRPr="00276F54" w:rsidRDefault="00276F54" w:rsidP="00276F54">
      <w:pPr>
        <w:jc w:val="both"/>
        <w:rPr>
          <w:sz w:val="28"/>
          <w:szCs w:val="28"/>
          <w:lang w:val="en-US"/>
        </w:rPr>
      </w:pPr>
      <w:proofErr w:type="spellStart"/>
      <w:r w:rsidRPr="00276F54">
        <w:rPr>
          <w:sz w:val="28"/>
          <w:szCs w:val="28"/>
          <w:lang w:val="en-US"/>
        </w:rPr>
        <w:t>Tver</w:t>
      </w:r>
      <w:proofErr w:type="spellEnd"/>
      <w:r w:rsidRPr="00276F54">
        <w:rPr>
          <w:sz w:val="28"/>
          <w:szCs w:val="28"/>
          <w:lang w:val="en-US"/>
        </w:rPr>
        <w:t xml:space="preserve"> State Medical Academy</w:t>
      </w:r>
    </w:p>
    <w:p w:rsidR="00276F54" w:rsidRPr="00276F54" w:rsidRDefault="00276F54" w:rsidP="00276F54">
      <w:pPr>
        <w:ind w:firstLine="708"/>
        <w:jc w:val="both"/>
        <w:rPr>
          <w:b/>
          <w:sz w:val="28"/>
          <w:szCs w:val="28"/>
          <w:lang w:val="en-US"/>
        </w:rPr>
      </w:pPr>
    </w:p>
    <w:p w:rsidR="00A2121B" w:rsidRPr="00276F54" w:rsidRDefault="00AA6739" w:rsidP="00276F54">
      <w:pPr>
        <w:ind w:firstLine="708"/>
        <w:jc w:val="both"/>
        <w:rPr>
          <w:i/>
          <w:sz w:val="28"/>
          <w:szCs w:val="28"/>
          <w:lang w:val="en-US"/>
        </w:rPr>
      </w:pPr>
      <w:r w:rsidRPr="00276F54">
        <w:rPr>
          <w:b/>
          <w:i/>
          <w:sz w:val="28"/>
          <w:szCs w:val="28"/>
          <w:lang w:val="en-US"/>
        </w:rPr>
        <w:t xml:space="preserve">The aim:   </w:t>
      </w:r>
      <w:r w:rsidRPr="00276F54">
        <w:rPr>
          <w:i/>
          <w:sz w:val="28"/>
          <w:szCs w:val="28"/>
          <w:lang w:val="en-US"/>
        </w:rPr>
        <w:t xml:space="preserve">to </w:t>
      </w:r>
      <w:proofErr w:type="spellStart"/>
      <w:r w:rsidRPr="00276F54">
        <w:rPr>
          <w:i/>
          <w:sz w:val="28"/>
          <w:szCs w:val="28"/>
          <w:lang w:val="en-US"/>
        </w:rPr>
        <w:t>deted</w:t>
      </w:r>
      <w:proofErr w:type="spellEnd"/>
      <w:r w:rsidRPr="00276F54">
        <w:rPr>
          <w:i/>
          <w:sz w:val="28"/>
          <w:szCs w:val="28"/>
          <w:lang w:val="en-US"/>
        </w:rPr>
        <w:t xml:space="preserve"> the presence of </w:t>
      </w:r>
      <w:proofErr w:type="spellStart"/>
      <w:r w:rsidRPr="00276F54">
        <w:rPr>
          <w:i/>
          <w:sz w:val="28"/>
          <w:szCs w:val="28"/>
          <w:lang w:val="en-US"/>
        </w:rPr>
        <w:t>pathoautokinesis</w:t>
      </w:r>
      <w:proofErr w:type="spellEnd"/>
      <w:r w:rsidRPr="00276F54">
        <w:rPr>
          <w:i/>
          <w:sz w:val="28"/>
          <w:szCs w:val="28"/>
          <w:lang w:val="en-US"/>
        </w:rPr>
        <w:t xml:space="preserve"> signs in development and maintenance of </w:t>
      </w:r>
      <w:proofErr w:type="spellStart"/>
      <w:r w:rsidRPr="00276F54">
        <w:rPr>
          <w:i/>
          <w:sz w:val="28"/>
          <w:szCs w:val="28"/>
          <w:lang w:val="en-US"/>
        </w:rPr>
        <w:t>hyperlipoproteidemia</w:t>
      </w:r>
      <w:proofErr w:type="spellEnd"/>
      <w:r w:rsidRPr="00276F54">
        <w:rPr>
          <w:i/>
          <w:sz w:val="28"/>
          <w:szCs w:val="28"/>
          <w:lang w:val="en-US"/>
        </w:rPr>
        <w:t xml:space="preserve"> (HLP) in experiments on intact rabbits and the rabbits after long-term intravenous injection of </w:t>
      </w:r>
      <w:proofErr w:type="spellStart"/>
      <w:r w:rsidRPr="00276F54">
        <w:rPr>
          <w:i/>
          <w:sz w:val="28"/>
          <w:szCs w:val="28"/>
          <w:lang w:val="en-US"/>
        </w:rPr>
        <w:t>lipoproteids</w:t>
      </w:r>
      <w:proofErr w:type="spellEnd"/>
      <w:r w:rsidRPr="00276F54">
        <w:rPr>
          <w:i/>
          <w:sz w:val="28"/>
          <w:szCs w:val="28"/>
          <w:lang w:val="en-US"/>
        </w:rPr>
        <w:t xml:space="preserve"> (LP).</w:t>
      </w:r>
    </w:p>
    <w:p w:rsidR="00A2121B" w:rsidRPr="00276F54" w:rsidRDefault="00AA6739" w:rsidP="00276F54">
      <w:pPr>
        <w:ind w:firstLine="708"/>
        <w:jc w:val="both"/>
        <w:rPr>
          <w:i/>
          <w:sz w:val="28"/>
          <w:szCs w:val="28"/>
          <w:lang w:val="en-US"/>
        </w:rPr>
      </w:pPr>
      <w:proofErr w:type="gramStart"/>
      <w:r w:rsidRPr="00276F54">
        <w:rPr>
          <w:b/>
          <w:i/>
          <w:sz w:val="28"/>
          <w:szCs w:val="28"/>
          <w:lang w:val="en-US"/>
        </w:rPr>
        <w:t>Material and methods</w:t>
      </w:r>
      <w:r w:rsidRPr="00276F54">
        <w:rPr>
          <w:i/>
          <w:sz w:val="28"/>
          <w:szCs w:val="28"/>
          <w:lang w:val="en-US"/>
        </w:rPr>
        <w:t>.</w:t>
      </w:r>
      <w:proofErr w:type="gramEnd"/>
      <w:r w:rsidRPr="00276F54">
        <w:rPr>
          <w:i/>
          <w:sz w:val="28"/>
          <w:szCs w:val="28"/>
          <w:lang w:val="en-US"/>
        </w:rPr>
        <w:t xml:space="preserve"> 3 series of experiments on rabbits which received for 60 days intravenous homologous </w:t>
      </w:r>
      <w:proofErr w:type="spellStart"/>
      <w:r w:rsidRPr="00276F54">
        <w:rPr>
          <w:i/>
          <w:sz w:val="28"/>
          <w:szCs w:val="28"/>
          <w:lang w:val="en-US"/>
        </w:rPr>
        <w:t>apo</w:t>
      </w:r>
      <w:proofErr w:type="spellEnd"/>
      <w:r w:rsidRPr="00276F54">
        <w:rPr>
          <w:i/>
          <w:sz w:val="28"/>
          <w:szCs w:val="28"/>
          <w:lang w:val="en-US"/>
        </w:rPr>
        <w:t xml:space="preserve">-B-containing LP (25-30 mg LP per 1 kg </w:t>
      </w:r>
      <w:proofErr w:type="gramStart"/>
      <w:r w:rsidRPr="00276F54">
        <w:rPr>
          <w:i/>
          <w:sz w:val="28"/>
          <w:szCs w:val="28"/>
          <w:lang w:val="en-US"/>
        </w:rPr>
        <w:t>of  the</w:t>
      </w:r>
      <w:proofErr w:type="gramEnd"/>
      <w:r w:rsidRPr="00276F54">
        <w:rPr>
          <w:i/>
          <w:sz w:val="28"/>
          <w:szCs w:val="28"/>
          <w:lang w:val="en-US"/>
        </w:rPr>
        <w:t xml:space="preserve"> body mass) were carried out. Correspondence of calculated and true values of injected LP, duration of HLP  maintenance after LP injection termination and the body response to single injection of </w:t>
      </w:r>
      <w:proofErr w:type="spellStart"/>
      <w:r w:rsidRPr="00276F54">
        <w:rPr>
          <w:i/>
          <w:sz w:val="28"/>
          <w:szCs w:val="28"/>
          <w:lang w:val="en-US"/>
        </w:rPr>
        <w:t>interlipin</w:t>
      </w:r>
      <w:proofErr w:type="spellEnd"/>
      <w:r w:rsidRPr="00276F54">
        <w:rPr>
          <w:i/>
          <w:sz w:val="28"/>
          <w:szCs w:val="28"/>
          <w:lang w:val="en-US"/>
        </w:rPr>
        <w:t xml:space="preserve"> as well as character of elimination with J 131  </w:t>
      </w:r>
      <w:proofErr w:type="spellStart"/>
      <w:r w:rsidRPr="00276F54">
        <w:rPr>
          <w:i/>
          <w:sz w:val="28"/>
          <w:szCs w:val="28"/>
          <w:lang w:val="en-US"/>
        </w:rPr>
        <w:t>apo</w:t>
      </w:r>
      <w:proofErr w:type="spellEnd"/>
      <w:r w:rsidRPr="00276F54">
        <w:rPr>
          <w:i/>
          <w:sz w:val="28"/>
          <w:szCs w:val="28"/>
          <w:lang w:val="en-US"/>
        </w:rPr>
        <w:t>-B-LP from blood alteration of the liver homogenates have been studied.</w:t>
      </w:r>
    </w:p>
    <w:p w:rsidR="00A2121B" w:rsidRPr="00276F54" w:rsidRDefault="00AA6739" w:rsidP="00276F54">
      <w:pPr>
        <w:ind w:firstLine="708"/>
        <w:jc w:val="both"/>
        <w:rPr>
          <w:i/>
          <w:sz w:val="28"/>
          <w:szCs w:val="28"/>
          <w:lang w:val="en-US"/>
        </w:rPr>
      </w:pPr>
      <w:proofErr w:type="gramStart"/>
      <w:r w:rsidRPr="00276F54">
        <w:rPr>
          <w:b/>
          <w:i/>
          <w:sz w:val="28"/>
          <w:szCs w:val="28"/>
          <w:lang w:val="en-US"/>
        </w:rPr>
        <w:t>Results</w:t>
      </w:r>
      <w:r w:rsidRPr="00276F54">
        <w:rPr>
          <w:i/>
          <w:sz w:val="28"/>
          <w:szCs w:val="28"/>
          <w:lang w:val="en-US"/>
        </w:rPr>
        <w:t>.</w:t>
      </w:r>
      <w:proofErr w:type="gramEnd"/>
      <w:r w:rsidRPr="00276F54">
        <w:rPr>
          <w:i/>
          <w:sz w:val="28"/>
          <w:szCs w:val="28"/>
          <w:lang w:val="en-US"/>
        </w:rPr>
        <w:t xml:space="preserve"> It has been that in 50% of rabbits with experimental HLP, the true values of intravenously injected LP are higher than calculated ones. In rabbits after LP injection termination HLP arisen lasts for 30-40 days and </w:t>
      </w:r>
      <w:proofErr w:type="spellStart"/>
      <w:r w:rsidRPr="00276F54">
        <w:rPr>
          <w:i/>
          <w:sz w:val="28"/>
          <w:szCs w:val="28"/>
          <w:lang w:val="en-US"/>
        </w:rPr>
        <w:t>intralipid</w:t>
      </w:r>
      <w:proofErr w:type="spellEnd"/>
      <w:r w:rsidRPr="00276F54">
        <w:rPr>
          <w:i/>
          <w:sz w:val="28"/>
          <w:szCs w:val="28"/>
          <w:lang w:val="en-US"/>
        </w:rPr>
        <w:t xml:space="preserve"> </w:t>
      </w:r>
      <w:proofErr w:type="gramStart"/>
      <w:r w:rsidRPr="00276F54">
        <w:rPr>
          <w:i/>
          <w:sz w:val="28"/>
          <w:szCs w:val="28"/>
          <w:lang w:val="en-US"/>
        </w:rPr>
        <w:t>injection  induces</w:t>
      </w:r>
      <w:proofErr w:type="gramEnd"/>
      <w:r w:rsidRPr="00276F54">
        <w:rPr>
          <w:i/>
          <w:sz w:val="28"/>
          <w:szCs w:val="28"/>
          <w:lang w:val="en-US"/>
        </w:rPr>
        <w:t xml:space="preserve"> prolonged  HLP.  The values of radioactivity of plasma LP in HLP testify to their difficult elimination from blood and their accumulation in the liver.</w:t>
      </w:r>
    </w:p>
    <w:p w:rsidR="00A2121B" w:rsidRPr="00276F54" w:rsidRDefault="00AA6739" w:rsidP="00276F54">
      <w:pPr>
        <w:ind w:firstLine="708"/>
        <w:jc w:val="both"/>
        <w:rPr>
          <w:i/>
          <w:sz w:val="28"/>
          <w:szCs w:val="28"/>
          <w:lang w:val="en-US"/>
        </w:rPr>
      </w:pPr>
      <w:proofErr w:type="gramStart"/>
      <w:r w:rsidRPr="00276F54">
        <w:rPr>
          <w:b/>
          <w:i/>
          <w:sz w:val="28"/>
          <w:szCs w:val="28"/>
          <w:lang w:val="en-US"/>
        </w:rPr>
        <w:t>Conclusion</w:t>
      </w:r>
      <w:r w:rsidRPr="00276F54">
        <w:rPr>
          <w:i/>
          <w:sz w:val="28"/>
          <w:szCs w:val="28"/>
          <w:lang w:val="en-US"/>
        </w:rPr>
        <w:t>.</w:t>
      </w:r>
      <w:proofErr w:type="gramEnd"/>
      <w:r w:rsidRPr="00276F54">
        <w:rPr>
          <w:i/>
          <w:sz w:val="28"/>
          <w:szCs w:val="28"/>
          <w:lang w:val="en-US"/>
        </w:rPr>
        <w:t xml:space="preserve"> </w:t>
      </w:r>
      <w:proofErr w:type="spellStart"/>
      <w:r w:rsidRPr="00276F54">
        <w:rPr>
          <w:i/>
          <w:sz w:val="28"/>
          <w:szCs w:val="28"/>
          <w:lang w:val="en-US"/>
        </w:rPr>
        <w:t>Mechanisns</w:t>
      </w:r>
      <w:proofErr w:type="spellEnd"/>
      <w:r w:rsidRPr="00276F54">
        <w:rPr>
          <w:i/>
          <w:sz w:val="28"/>
          <w:szCs w:val="28"/>
          <w:lang w:val="en-US"/>
        </w:rPr>
        <w:t xml:space="preserve"> of </w:t>
      </w:r>
      <w:proofErr w:type="spellStart"/>
      <w:r w:rsidRPr="00276F54">
        <w:rPr>
          <w:i/>
          <w:sz w:val="28"/>
          <w:szCs w:val="28"/>
          <w:lang w:val="en-US"/>
        </w:rPr>
        <w:t>pathoautokinesis</w:t>
      </w:r>
      <w:proofErr w:type="spellEnd"/>
      <w:r w:rsidRPr="00276F54">
        <w:rPr>
          <w:i/>
          <w:sz w:val="28"/>
          <w:szCs w:val="28"/>
          <w:lang w:val="en-US"/>
        </w:rPr>
        <w:t xml:space="preserve"> are present in HLP development and maintenance.</w:t>
      </w:r>
    </w:p>
    <w:p w:rsidR="00A2121B" w:rsidRPr="00276F54" w:rsidRDefault="00AA6739" w:rsidP="00276F54">
      <w:pPr>
        <w:ind w:firstLine="708"/>
        <w:jc w:val="both"/>
        <w:rPr>
          <w:i/>
          <w:sz w:val="28"/>
          <w:szCs w:val="28"/>
        </w:rPr>
      </w:pPr>
      <w:r w:rsidRPr="00276F54">
        <w:rPr>
          <w:b/>
          <w:i/>
          <w:sz w:val="28"/>
          <w:szCs w:val="28"/>
          <w:lang w:val="en-US"/>
        </w:rPr>
        <w:lastRenderedPageBreak/>
        <w:t>Key</w:t>
      </w:r>
      <w:r w:rsidRPr="00276F54">
        <w:rPr>
          <w:b/>
          <w:i/>
          <w:sz w:val="28"/>
          <w:szCs w:val="28"/>
        </w:rPr>
        <w:t xml:space="preserve"> </w:t>
      </w:r>
      <w:r w:rsidRPr="00276F54">
        <w:rPr>
          <w:b/>
          <w:i/>
          <w:sz w:val="28"/>
          <w:szCs w:val="28"/>
          <w:lang w:val="en-US"/>
        </w:rPr>
        <w:t>words</w:t>
      </w:r>
      <w:r w:rsidRPr="00276F54">
        <w:rPr>
          <w:i/>
          <w:sz w:val="28"/>
          <w:szCs w:val="28"/>
        </w:rPr>
        <w:t xml:space="preserve">: </w:t>
      </w:r>
      <w:proofErr w:type="spellStart"/>
      <w:r w:rsidRPr="00276F54">
        <w:rPr>
          <w:i/>
          <w:sz w:val="28"/>
          <w:szCs w:val="28"/>
          <w:lang w:val="en-US"/>
        </w:rPr>
        <w:t>pathoautokinesis</w:t>
      </w:r>
      <w:proofErr w:type="spellEnd"/>
      <w:r w:rsidRPr="00276F54">
        <w:rPr>
          <w:i/>
          <w:sz w:val="28"/>
          <w:szCs w:val="28"/>
        </w:rPr>
        <w:t xml:space="preserve">, </w:t>
      </w:r>
      <w:proofErr w:type="spellStart"/>
      <w:r w:rsidRPr="00276F54">
        <w:rPr>
          <w:i/>
          <w:sz w:val="28"/>
          <w:szCs w:val="28"/>
          <w:lang w:val="en-US"/>
        </w:rPr>
        <w:t>hyperlipoproteidemia</w:t>
      </w:r>
      <w:proofErr w:type="spellEnd"/>
      <w:r w:rsidRPr="00276F54">
        <w:rPr>
          <w:i/>
          <w:sz w:val="28"/>
          <w:szCs w:val="28"/>
        </w:rPr>
        <w:t>.</w:t>
      </w:r>
    </w:p>
    <w:p w:rsidR="00A2121B" w:rsidRPr="00276F54" w:rsidRDefault="00A2121B" w:rsidP="00276F54">
      <w:pPr>
        <w:ind w:firstLine="708"/>
        <w:jc w:val="both"/>
        <w:rPr>
          <w:sz w:val="28"/>
          <w:szCs w:val="28"/>
        </w:rPr>
      </w:pPr>
    </w:p>
    <w:p w:rsidR="00A2121B" w:rsidRPr="00276F54" w:rsidRDefault="00AA6739" w:rsidP="00276F54">
      <w:pPr>
        <w:ind w:firstLine="708"/>
        <w:jc w:val="both"/>
        <w:rPr>
          <w:sz w:val="28"/>
          <w:szCs w:val="28"/>
        </w:rPr>
      </w:pPr>
      <w:r w:rsidRPr="00276F54">
        <w:rPr>
          <w:sz w:val="28"/>
          <w:szCs w:val="28"/>
        </w:rPr>
        <w:t xml:space="preserve">Согласно классическим теоретическим представлениям,  важнейшей и самой общей закономерностью патогенеза болезни,  любого патологического процесса является принцип саморазвития или </w:t>
      </w:r>
      <w:proofErr w:type="spellStart"/>
      <w:r w:rsidRPr="00276F54">
        <w:rPr>
          <w:sz w:val="28"/>
          <w:szCs w:val="28"/>
        </w:rPr>
        <w:t>самоподдержания</w:t>
      </w:r>
      <w:proofErr w:type="spellEnd"/>
      <w:r w:rsidRPr="00276F54">
        <w:rPr>
          <w:sz w:val="28"/>
          <w:szCs w:val="28"/>
        </w:rPr>
        <w:t xml:space="preserve"> (</w:t>
      </w:r>
      <w:proofErr w:type="spellStart"/>
      <w:r w:rsidRPr="00276F54">
        <w:rPr>
          <w:sz w:val="28"/>
          <w:szCs w:val="28"/>
        </w:rPr>
        <w:t>патоаутокинеза</w:t>
      </w:r>
      <w:proofErr w:type="spellEnd"/>
      <w:r w:rsidRPr="00276F54">
        <w:rPr>
          <w:sz w:val="28"/>
          <w:szCs w:val="28"/>
        </w:rPr>
        <w:t>). По мнению выдающегося патолога ХХ века И.В. Давыдовского, - «это значит, что процесс, однажды возникнув, в дальнейшем развивается по принципу «</w:t>
      </w:r>
      <w:proofErr w:type="spellStart"/>
      <w:r w:rsidRPr="00276F54">
        <w:rPr>
          <w:sz w:val="28"/>
          <w:szCs w:val="28"/>
        </w:rPr>
        <w:t>цепности</w:t>
      </w:r>
      <w:proofErr w:type="spellEnd"/>
      <w:r w:rsidRPr="00276F54">
        <w:rPr>
          <w:sz w:val="28"/>
          <w:szCs w:val="28"/>
        </w:rPr>
        <w:t xml:space="preserve">», а патогенетические механизмы, участвующие в прогрессировании болезни, реализуются  благодаря определенным генетически детерминированным программам, </w:t>
      </w:r>
      <w:proofErr w:type="gramStart"/>
      <w:r w:rsidRPr="00276F54">
        <w:rPr>
          <w:sz w:val="28"/>
          <w:szCs w:val="28"/>
        </w:rPr>
        <w:t>лежащих</w:t>
      </w:r>
      <w:proofErr w:type="gramEnd"/>
      <w:r w:rsidRPr="00276F54">
        <w:rPr>
          <w:sz w:val="28"/>
          <w:szCs w:val="28"/>
        </w:rPr>
        <w:t xml:space="preserve"> в основе </w:t>
      </w:r>
      <w:proofErr w:type="spellStart"/>
      <w:r w:rsidRPr="00276F54">
        <w:rPr>
          <w:sz w:val="28"/>
          <w:szCs w:val="28"/>
        </w:rPr>
        <w:t>саморегуляции</w:t>
      </w:r>
      <w:proofErr w:type="spellEnd"/>
      <w:r w:rsidRPr="00276F54">
        <w:rPr>
          <w:sz w:val="28"/>
          <w:szCs w:val="28"/>
        </w:rPr>
        <w:t xml:space="preserve">.  Согласно мнению Г.Н. </w:t>
      </w:r>
      <w:proofErr w:type="spellStart"/>
      <w:r w:rsidRPr="00276F54">
        <w:rPr>
          <w:sz w:val="28"/>
          <w:szCs w:val="28"/>
        </w:rPr>
        <w:t>Крыжановского</w:t>
      </w:r>
      <w:proofErr w:type="spellEnd"/>
      <w:r w:rsidRPr="00276F54">
        <w:rPr>
          <w:sz w:val="28"/>
          <w:szCs w:val="28"/>
        </w:rPr>
        <w:t xml:space="preserve">, </w:t>
      </w:r>
      <w:proofErr w:type="gramStart"/>
      <w:r w:rsidRPr="00276F54">
        <w:rPr>
          <w:sz w:val="28"/>
          <w:szCs w:val="28"/>
        </w:rPr>
        <w:t>само повреждение</w:t>
      </w:r>
      <w:proofErr w:type="gramEnd"/>
      <w:r w:rsidRPr="00276F54">
        <w:rPr>
          <w:sz w:val="28"/>
          <w:szCs w:val="28"/>
        </w:rPr>
        <w:t xml:space="preserve"> играет лишь роль причины и является обязательным условием развития болезни, тогда как сам патологический процесс в дальнейшем осуществляется собственными, эндогенными механизмами поврежденных структур. Это фактически означает, что болезнь (патологический процесс) прекращается только тогда, когда в </w:t>
      </w:r>
      <w:proofErr w:type="gramStart"/>
      <w:r w:rsidRPr="00276F54">
        <w:rPr>
          <w:sz w:val="28"/>
          <w:szCs w:val="28"/>
        </w:rPr>
        <w:t>организме</w:t>
      </w:r>
      <w:proofErr w:type="gramEnd"/>
      <w:r w:rsidRPr="00276F54">
        <w:rPr>
          <w:sz w:val="28"/>
          <w:szCs w:val="28"/>
        </w:rPr>
        <w:t xml:space="preserve"> самостоятельно возникают достаточно мощные </w:t>
      </w:r>
      <w:proofErr w:type="spellStart"/>
      <w:r w:rsidRPr="00276F54">
        <w:rPr>
          <w:sz w:val="28"/>
          <w:szCs w:val="28"/>
        </w:rPr>
        <w:t>саногенные</w:t>
      </w:r>
      <w:proofErr w:type="spellEnd"/>
      <w:r w:rsidRPr="00276F54">
        <w:rPr>
          <w:sz w:val="28"/>
          <w:szCs w:val="28"/>
        </w:rPr>
        <w:t xml:space="preserve"> силы или в дело вмешивается врач, устраняющий причину страдания.</w:t>
      </w:r>
    </w:p>
    <w:p w:rsidR="00A2121B" w:rsidRPr="00276F54" w:rsidRDefault="00AA6739" w:rsidP="00276F54">
      <w:pPr>
        <w:ind w:firstLine="708"/>
        <w:jc w:val="both"/>
        <w:rPr>
          <w:sz w:val="28"/>
          <w:szCs w:val="28"/>
        </w:rPr>
      </w:pPr>
      <w:r w:rsidRPr="00276F54">
        <w:rPr>
          <w:sz w:val="28"/>
          <w:szCs w:val="28"/>
        </w:rPr>
        <w:t xml:space="preserve">Следует отметить, что вопрос о существовании </w:t>
      </w:r>
      <w:proofErr w:type="spellStart"/>
      <w:r w:rsidRPr="00276F54">
        <w:rPr>
          <w:sz w:val="28"/>
          <w:szCs w:val="28"/>
        </w:rPr>
        <w:t>патоаутокинеза</w:t>
      </w:r>
      <w:proofErr w:type="spellEnd"/>
      <w:r w:rsidRPr="00276F54">
        <w:rPr>
          <w:sz w:val="28"/>
          <w:szCs w:val="28"/>
        </w:rPr>
        <w:t xml:space="preserve"> в атеросклеротическом процессе остается  пока открытым и в этом плане имеются лишь единичные  высказывания. В частности,  пока остается неясным, имеются ли в организме механизм поддержания экзогенно возникшей </w:t>
      </w:r>
      <w:proofErr w:type="spellStart"/>
      <w:r w:rsidRPr="00276F54">
        <w:rPr>
          <w:sz w:val="28"/>
          <w:szCs w:val="28"/>
        </w:rPr>
        <w:t>гиперлипидемии</w:t>
      </w:r>
      <w:proofErr w:type="spellEnd"/>
      <w:r w:rsidRPr="00276F54">
        <w:rPr>
          <w:sz w:val="28"/>
          <w:szCs w:val="28"/>
        </w:rPr>
        <w:t xml:space="preserve">, как пускового фактора развития атеросклероза и ишемической болезни сердца, который будет функционировать в организме и после окончания кормления кролика холестерином или отказа человека от </w:t>
      </w:r>
      <w:proofErr w:type="spellStart"/>
      <w:r w:rsidRPr="00276F54">
        <w:rPr>
          <w:sz w:val="28"/>
          <w:szCs w:val="28"/>
        </w:rPr>
        <w:t>атерогенной</w:t>
      </w:r>
      <w:proofErr w:type="spellEnd"/>
      <w:r w:rsidRPr="00276F54">
        <w:rPr>
          <w:sz w:val="28"/>
          <w:szCs w:val="28"/>
        </w:rPr>
        <w:t xml:space="preserve"> диеты.</w:t>
      </w:r>
    </w:p>
    <w:p w:rsidR="00A2121B" w:rsidRPr="00276F54" w:rsidRDefault="00AA6739" w:rsidP="00276F54">
      <w:pPr>
        <w:ind w:firstLine="708"/>
        <w:jc w:val="both"/>
        <w:rPr>
          <w:sz w:val="28"/>
          <w:szCs w:val="28"/>
        </w:rPr>
      </w:pPr>
      <w:r w:rsidRPr="00276F54">
        <w:rPr>
          <w:b/>
          <w:sz w:val="28"/>
          <w:szCs w:val="28"/>
        </w:rPr>
        <w:t>Поставлена цель</w:t>
      </w:r>
      <w:r w:rsidRPr="00276F54">
        <w:rPr>
          <w:sz w:val="28"/>
          <w:szCs w:val="28"/>
        </w:rPr>
        <w:t xml:space="preserve">: в серии опытов на </w:t>
      </w:r>
      <w:proofErr w:type="spellStart"/>
      <w:r w:rsidRPr="00276F54">
        <w:rPr>
          <w:sz w:val="28"/>
          <w:szCs w:val="28"/>
        </w:rPr>
        <w:t>интактных</w:t>
      </w:r>
      <w:proofErr w:type="spellEnd"/>
      <w:r w:rsidRPr="00276F54">
        <w:rPr>
          <w:sz w:val="28"/>
          <w:szCs w:val="28"/>
        </w:rPr>
        <w:t xml:space="preserve"> кроликах и животных после длительного внутривенного введения липопротеидов выявить наличие признаков </w:t>
      </w:r>
      <w:proofErr w:type="spellStart"/>
      <w:r w:rsidRPr="00276F54">
        <w:rPr>
          <w:sz w:val="28"/>
          <w:szCs w:val="28"/>
        </w:rPr>
        <w:t>патоаутокинеза</w:t>
      </w:r>
      <w:proofErr w:type="spellEnd"/>
      <w:r w:rsidRPr="00276F54">
        <w:rPr>
          <w:sz w:val="28"/>
          <w:szCs w:val="28"/>
        </w:rPr>
        <w:t xml:space="preserve"> в развитии и поддержании </w:t>
      </w:r>
      <w:proofErr w:type="spellStart"/>
      <w:r w:rsidRPr="00276F54">
        <w:rPr>
          <w:sz w:val="28"/>
          <w:szCs w:val="28"/>
        </w:rPr>
        <w:t>гиперлипопротеидемии</w:t>
      </w:r>
      <w:proofErr w:type="spellEnd"/>
      <w:r w:rsidRPr="00276F54">
        <w:rPr>
          <w:sz w:val="28"/>
          <w:szCs w:val="28"/>
        </w:rPr>
        <w:t xml:space="preserve"> (ГЛП).</w:t>
      </w:r>
    </w:p>
    <w:p w:rsidR="00A2121B" w:rsidRPr="00276F54" w:rsidRDefault="00AA6739" w:rsidP="00276F54">
      <w:pPr>
        <w:ind w:firstLine="708"/>
        <w:jc w:val="both"/>
        <w:rPr>
          <w:sz w:val="28"/>
          <w:szCs w:val="28"/>
        </w:rPr>
      </w:pPr>
      <w:r w:rsidRPr="00276F54">
        <w:rPr>
          <w:b/>
          <w:sz w:val="28"/>
          <w:szCs w:val="28"/>
        </w:rPr>
        <w:t>Материал и методы</w:t>
      </w:r>
      <w:r w:rsidRPr="00276F54">
        <w:rPr>
          <w:sz w:val="28"/>
          <w:szCs w:val="28"/>
        </w:rPr>
        <w:t>.</w:t>
      </w:r>
    </w:p>
    <w:p w:rsidR="00A2121B" w:rsidRPr="00276F54" w:rsidRDefault="00AA6739" w:rsidP="00276F54">
      <w:pPr>
        <w:ind w:firstLine="708"/>
        <w:jc w:val="both"/>
        <w:rPr>
          <w:sz w:val="28"/>
          <w:szCs w:val="28"/>
        </w:rPr>
      </w:pPr>
      <w:r w:rsidRPr="00276F54">
        <w:rPr>
          <w:sz w:val="28"/>
          <w:szCs w:val="28"/>
        </w:rPr>
        <w:t xml:space="preserve">Первая серия исследований была посвящена изучению соответствия расчетной и фактической величины липидов крови, </w:t>
      </w:r>
      <w:proofErr w:type="spellStart"/>
      <w:r w:rsidRPr="00276F54">
        <w:rPr>
          <w:sz w:val="28"/>
          <w:szCs w:val="28"/>
        </w:rPr>
        <w:t>одномоментно</w:t>
      </w:r>
      <w:proofErr w:type="spellEnd"/>
      <w:r w:rsidRPr="00276F54">
        <w:rPr>
          <w:sz w:val="28"/>
          <w:szCs w:val="28"/>
        </w:rPr>
        <w:t xml:space="preserve"> внутривенно введенных </w:t>
      </w:r>
      <w:proofErr w:type="spellStart"/>
      <w:r w:rsidRPr="00276F54">
        <w:rPr>
          <w:sz w:val="28"/>
          <w:szCs w:val="28"/>
        </w:rPr>
        <w:t>интактным</w:t>
      </w:r>
      <w:proofErr w:type="spellEnd"/>
      <w:r w:rsidRPr="00276F54">
        <w:rPr>
          <w:sz w:val="28"/>
          <w:szCs w:val="28"/>
        </w:rPr>
        <w:t xml:space="preserve"> животным, и у этих же животных после длительно экспериментально индуцированной  ГЛП. Эксперимент был выполнен на  20 беспородных кроликах одной массы тела (2,5-3 кг). ГЛП выполнялась путем длительного  (в течение 60 дней) внутривенного введения гомологичных </w:t>
      </w:r>
      <w:proofErr w:type="spellStart"/>
      <w:r w:rsidRPr="00276F54">
        <w:rPr>
          <w:sz w:val="28"/>
          <w:szCs w:val="28"/>
        </w:rPr>
        <w:t>апо-В-содержащих</w:t>
      </w:r>
      <w:proofErr w:type="spellEnd"/>
      <w:r w:rsidRPr="00276F54">
        <w:rPr>
          <w:sz w:val="28"/>
          <w:szCs w:val="28"/>
        </w:rPr>
        <w:t xml:space="preserve"> липопротеидов (ЛП). Во время каждой инъекции кролик получал в среднем 25-30 мг ЛП на 1 кг массы тела. В конце эксперимента после последнего введения, как и после первого введения ЛП, были проведены расчеты содержания в крови кроликов-реципиентов  суммарной фракции ЛП очень низкой плотности (ЛПОП), ЛП низкой плотности (ЛПНП) и холестерина (ХС). Расчеты были проведены с учетом знания объема циркулирующей плазмы крови у  подопытных кроликов, исходного содержания в ней ЛП, ХС и количества ЛП и ХС  введенного кроликам. При этом, безусловно, </w:t>
      </w:r>
      <w:r w:rsidRPr="00276F54">
        <w:rPr>
          <w:sz w:val="28"/>
          <w:szCs w:val="28"/>
        </w:rPr>
        <w:lastRenderedPageBreak/>
        <w:t>учитывалось, что экзогенно введенные ЛП в организме животных-реципиентов подвергаются распаду в соответствии с периодом их полураспада, который, как известно, для ЛПНП здоровых кроликов равен 66 часам. Кроме того, при проведении расчетов учитывалось, что часть введенных ЛП и ХС отлагается в тканях подопытных животных.</w:t>
      </w:r>
    </w:p>
    <w:p w:rsidR="00A2121B" w:rsidRPr="00276F54" w:rsidRDefault="00AA6739" w:rsidP="00276F54">
      <w:pPr>
        <w:ind w:firstLine="708"/>
        <w:jc w:val="both"/>
        <w:rPr>
          <w:sz w:val="28"/>
          <w:szCs w:val="28"/>
        </w:rPr>
      </w:pPr>
      <w:r w:rsidRPr="00276F54">
        <w:rPr>
          <w:sz w:val="28"/>
          <w:szCs w:val="28"/>
        </w:rPr>
        <w:t xml:space="preserve">Во второй серии исследований была поставлена задача - проследить, как длительно сохраняется ГЛП в крови кроликов после прекращения 2-хмесячного внутривенного введения гомологичных </w:t>
      </w:r>
      <w:proofErr w:type="spellStart"/>
      <w:r w:rsidRPr="00276F54">
        <w:rPr>
          <w:sz w:val="28"/>
          <w:szCs w:val="28"/>
        </w:rPr>
        <w:t>апо-В-ЛП</w:t>
      </w:r>
      <w:proofErr w:type="spellEnd"/>
      <w:r w:rsidRPr="00276F54">
        <w:rPr>
          <w:sz w:val="28"/>
          <w:szCs w:val="28"/>
        </w:rPr>
        <w:t xml:space="preserve"> и как реагирует их организм на повторное введение ЛП. Эта серия исследований была выполнена на 14 кроликах, которым на протяжении 60 дней  внутривенно вводились </w:t>
      </w:r>
      <w:proofErr w:type="gramStart"/>
      <w:r w:rsidRPr="00276F54">
        <w:rPr>
          <w:sz w:val="28"/>
          <w:szCs w:val="28"/>
        </w:rPr>
        <w:t>гомологичные</w:t>
      </w:r>
      <w:proofErr w:type="gramEnd"/>
      <w:r w:rsidRPr="00276F54">
        <w:rPr>
          <w:sz w:val="28"/>
          <w:szCs w:val="28"/>
        </w:rPr>
        <w:t xml:space="preserve"> </w:t>
      </w:r>
      <w:proofErr w:type="spellStart"/>
      <w:r w:rsidRPr="00276F54">
        <w:rPr>
          <w:sz w:val="28"/>
          <w:szCs w:val="28"/>
        </w:rPr>
        <w:t>апо-В-ЛП</w:t>
      </w:r>
      <w:proofErr w:type="spellEnd"/>
      <w:r w:rsidRPr="00276F54">
        <w:rPr>
          <w:sz w:val="28"/>
          <w:szCs w:val="28"/>
        </w:rPr>
        <w:t xml:space="preserve">.  В последующем у них на протяжении 40 дней изучалось в крови содержание ЛП. После нормализации в крови уровня ЛП проводилось однократное внутривенное введение 10%  </w:t>
      </w:r>
      <w:proofErr w:type="spellStart"/>
      <w:r w:rsidRPr="00276F54">
        <w:rPr>
          <w:sz w:val="28"/>
          <w:szCs w:val="28"/>
        </w:rPr>
        <w:t>интралипида</w:t>
      </w:r>
      <w:proofErr w:type="spellEnd"/>
      <w:r w:rsidRPr="00276F54">
        <w:rPr>
          <w:sz w:val="28"/>
          <w:szCs w:val="28"/>
        </w:rPr>
        <w:t xml:space="preserve"> из расчета 1,5-2 мл на 1 кг массы тела. В последующем на протяжении 3-х недель изучался уровень </w:t>
      </w:r>
      <w:proofErr w:type="spellStart"/>
      <w:r w:rsidRPr="00276F54">
        <w:rPr>
          <w:sz w:val="28"/>
          <w:szCs w:val="28"/>
        </w:rPr>
        <w:t>липидемии</w:t>
      </w:r>
      <w:proofErr w:type="spellEnd"/>
      <w:r w:rsidRPr="00276F54">
        <w:rPr>
          <w:sz w:val="28"/>
          <w:szCs w:val="28"/>
        </w:rPr>
        <w:t xml:space="preserve"> в крови. </w:t>
      </w:r>
    </w:p>
    <w:p w:rsidR="00A2121B" w:rsidRPr="00276F54" w:rsidRDefault="00AA6739" w:rsidP="00276F54">
      <w:pPr>
        <w:ind w:firstLine="708"/>
        <w:jc w:val="both"/>
        <w:rPr>
          <w:sz w:val="28"/>
          <w:szCs w:val="28"/>
        </w:rPr>
      </w:pPr>
      <w:r w:rsidRPr="00276F54">
        <w:rPr>
          <w:sz w:val="28"/>
          <w:szCs w:val="28"/>
        </w:rPr>
        <w:t xml:space="preserve">В третьей серии опытов была поставлена цель - изучить влияние экспериментальной ГЛП на характер элиминации из крови меченых </w:t>
      </w:r>
      <w:r w:rsidRPr="00276F54">
        <w:rPr>
          <w:sz w:val="28"/>
          <w:szCs w:val="28"/>
          <w:lang w:val="en-US"/>
        </w:rPr>
        <w:t>J</w:t>
      </w:r>
      <w:r w:rsidRPr="00276F54">
        <w:rPr>
          <w:sz w:val="28"/>
          <w:szCs w:val="28"/>
        </w:rPr>
        <w:t>-</w:t>
      </w:r>
      <w:r w:rsidRPr="00276F54">
        <w:rPr>
          <w:sz w:val="28"/>
          <w:szCs w:val="28"/>
          <w:vertAlign w:val="superscript"/>
        </w:rPr>
        <w:t>131</w:t>
      </w:r>
      <w:r w:rsidRPr="00276F54">
        <w:rPr>
          <w:sz w:val="28"/>
          <w:szCs w:val="28"/>
        </w:rPr>
        <w:t xml:space="preserve"> </w:t>
      </w:r>
      <w:proofErr w:type="spellStart"/>
      <w:r w:rsidRPr="00276F54">
        <w:rPr>
          <w:sz w:val="28"/>
          <w:szCs w:val="28"/>
        </w:rPr>
        <w:t>апо-В-ЛП</w:t>
      </w:r>
      <w:proofErr w:type="spellEnd"/>
      <w:r w:rsidRPr="00276F54">
        <w:rPr>
          <w:sz w:val="28"/>
          <w:szCs w:val="28"/>
        </w:rPr>
        <w:t xml:space="preserve"> и изменение реактивности </w:t>
      </w:r>
      <w:proofErr w:type="spellStart"/>
      <w:r w:rsidRPr="00276F54">
        <w:rPr>
          <w:sz w:val="28"/>
          <w:szCs w:val="28"/>
        </w:rPr>
        <w:t>гомогенатов</w:t>
      </w:r>
      <w:proofErr w:type="spellEnd"/>
      <w:r w:rsidRPr="00276F54">
        <w:rPr>
          <w:sz w:val="28"/>
          <w:szCs w:val="28"/>
        </w:rPr>
        <w:t xml:space="preserve"> печени. </w:t>
      </w:r>
      <w:proofErr w:type="gramStart"/>
      <w:r w:rsidRPr="00276F54">
        <w:rPr>
          <w:sz w:val="28"/>
          <w:szCs w:val="28"/>
        </w:rPr>
        <w:t xml:space="preserve">Опыты были проведены на  16 кроликах с экспериментально вызванной ГЛП, способом указанным выше,  и 12 </w:t>
      </w:r>
      <w:proofErr w:type="spellStart"/>
      <w:r w:rsidRPr="00276F54">
        <w:rPr>
          <w:sz w:val="28"/>
          <w:szCs w:val="28"/>
        </w:rPr>
        <w:t>интактных</w:t>
      </w:r>
      <w:proofErr w:type="spellEnd"/>
      <w:r w:rsidRPr="00276F54">
        <w:rPr>
          <w:sz w:val="28"/>
          <w:szCs w:val="28"/>
        </w:rPr>
        <w:t xml:space="preserve"> кроликах.</w:t>
      </w:r>
      <w:proofErr w:type="gramEnd"/>
      <w:r w:rsidRPr="00276F54">
        <w:rPr>
          <w:sz w:val="28"/>
          <w:szCs w:val="28"/>
        </w:rPr>
        <w:t xml:space="preserve"> Им всем проводилась внутривенное введение гомологичной суммарной фракции </w:t>
      </w:r>
      <w:proofErr w:type="spellStart"/>
      <w:r w:rsidRPr="00276F54">
        <w:rPr>
          <w:sz w:val="28"/>
          <w:szCs w:val="28"/>
        </w:rPr>
        <w:t>апо-В-ЛП</w:t>
      </w:r>
      <w:proofErr w:type="spellEnd"/>
      <w:r w:rsidRPr="00276F54">
        <w:rPr>
          <w:sz w:val="28"/>
          <w:szCs w:val="28"/>
        </w:rPr>
        <w:t xml:space="preserve"> (25-30 мг на 1 кг массы тела), меченой  </w:t>
      </w:r>
      <w:r w:rsidRPr="00276F54">
        <w:rPr>
          <w:sz w:val="28"/>
          <w:szCs w:val="28"/>
          <w:lang w:val="en-US"/>
        </w:rPr>
        <w:t>J</w:t>
      </w:r>
      <w:r w:rsidRPr="00276F54">
        <w:rPr>
          <w:sz w:val="28"/>
          <w:szCs w:val="28"/>
        </w:rPr>
        <w:t>-</w:t>
      </w:r>
      <w:r w:rsidRPr="00276F54">
        <w:rPr>
          <w:sz w:val="28"/>
          <w:szCs w:val="28"/>
          <w:vertAlign w:val="superscript"/>
        </w:rPr>
        <w:t>131</w:t>
      </w:r>
      <w:r w:rsidRPr="00276F54">
        <w:rPr>
          <w:sz w:val="28"/>
          <w:szCs w:val="28"/>
        </w:rPr>
        <w:t xml:space="preserve">. В последующем на протяжении 24 часов изучалось индикаторное время сыворотки крови и </w:t>
      </w:r>
      <w:proofErr w:type="spellStart"/>
      <w:r w:rsidRPr="00276F54">
        <w:rPr>
          <w:sz w:val="28"/>
          <w:szCs w:val="28"/>
        </w:rPr>
        <w:t>гомогенатов</w:t>
      </w:r>
      <w:proofErr w:type="spellEnd"/>
      <w:r w:rsidRPr="00276F54">
        <w:rPr>
          <w:sz w:val="28"/>
          <w:szCs w:val="28"/>
        </w:rPr>
        <w:t xml:space="preserve"> печени.</w:t>
      </w:r>
    </w:p>
    <w:p w:rsidR="00A2121B" w:rsidRPr="00276F54" w:rsidRDefault="00AA6739" w:rsidP="00276F54">
      <w:pPr>
        <w:ind w:firstLine="708"/>
        <w:jc w:val="both"/>
        <w:rPr>
          <w:sz w:val="28"/>
          <w:szCs w:val="28"/>
        </w:rPr>
      </w:pPr>
      <w:r w:rsidRPr="00276F54">
        <w:rPr>
          <w:sz w:val="28"/>
          <w:szCs w:val="28"/>
        </w:rPr>
        <w:t xml:space="preserve">Материалы обрабатывались с помощью статистических функций </w:t>
      </w:r>
      <w:r w:rsidRPr="00276F54">
        <w:rPr>
          <w:sz w:val="28"/>
          <w:szCs w:val="28"/>
          <w:lang w:val="en-US"/>
        </w:rPr>
        <w:t>EXCEL</w:t>
      </w:r>
      <w:r w:rsidRPr="00276F54">
        <w:rPr>
          <w:sz w:val="28"/>
          <w:szCs w:val="28"/>
        </w:rPr>
        <w:t xml:space="preserve">-2000. </w:t>
      </w:r>
    </w:p>
    <w:p w:rsidR="00A2121B" w:rsidRPr="00276F54" w:rsidRDefault="00AA6739" w:rsidP="00276F54">
      <w:pPr>
        <w:ind w:firstLine="708"/>
        <w:jc w:val="both"/>
        <w:rPr>
          <w:sz w:val="28"/>
          <w:szCs w:val="28"/>
        </w:rPr>
      </w:pPr>
      <w:r w:rsidRPr="00276F54">
        <w:rPr>
          <w:b/>
          <w:sz w:val="28"/>
          <w:szCs w:val="28"/>
        </w:rPr>
        <w:t>Результаты и их обсуждение</w:t>
      </w:r>
      <w:r w:rsidRPr="00276F54">
        <w:rPr>
          <w:sz w:val="28"/>
          <w:szCs w:val="28"/>
        </w:rPr>
        <w:t>.</w:t>
      </w:r>
    </w:p>
    <w:p w:rsidR="00A2121B" w:rsidRPr="00276F54" w:rsidRDefault="00AA6739" w:rsidP="00276F54">
      <w:pPr>
        <w:ind w:firstLine="708"/>
        <w:jc w:val="both"/>
        <w:rPr>
          <w:sz w:val="28"/>
          <w:szCs w:val="28"/>
        </w:rPr>
      </w:pPr>
      <w:r w:rsidRPr="00276F54">
        <w:rPr>
          <w:sz w:val="28"/>
          <w:szCs w:val="28"/>
        </w:rPr>
        <w:t xml:space="preserve">Общие результаты 1-й серии исследований представлены на рис. 1. </w:t>
      </w:r>
      <w:proofErr w:type="gramStart"/>
      <w:r w:rsidRPr="00276F54">
        <w:rPr>
          <w:sz w:val="28"/>
          <w:szCs w:val="28"/>
        </w:rPr>
        <w:t xml:space="preserve">Оказалось, что у 10 (50%) кроликов с экспериментальной </w:t>
      </w:r>
      <w:proofErr w:type="spellStart"/>
      <w:r w:rsidRPr="00276F54">
        <w:rPr>
          <w:sz w:val="28"/>
          <w:szCs w:val="28"/>
        </w:rPr>
        <w:t>гиперлипидемией</w:t>
      </w:r>
      <w:proofErr w:type="spellEnd"/>
      <w:r w:rsidRPr="00276F54">
        <w:rPr>
          <w:sz w:val="28"/>
          <w:szCs w:val="28"/>
        </w:rPr>
        <w:t xml:space="preserve">, вызванной 2-хмесячным внутривенным введением </w:t>
      </w:r>
      <w:proofErr w:type="spellStart"/>
      <w:r w:rsidRPr="00276F54">
        <w:rPr>
          <w:sz w:val="28"/>
          <w:szCs w:val="28"/>
        </w:rPr>
        <w:t>гомогологичных</w:t>
      </w:r>
      <w:proofErr w:type="spellEnd"/>
      <w:r w:rsidRPr="00276F54">
        <w:rPr>
          <w:sz w:val="28"/>
          <w:szCs w:val="28"/>
        </w:rPr>
        <w:t xml:space="preserve"> </w:t>
      </w:r>
      <w:proofErr w:type="spellStart"/>
      <w:r w:rsidRPr="00276F54">
        <w:rPr>
          <w:sz w:val="28"/>
          <w:szCs w:val="28"/>
        </w:rPr>
        <w:t>апо-В-ЛП</w:t>
      </w:r>
      <w:proofErr w:type="spellEnd"/>
      <w:r w:rsidRPr="00276F54">
        <w:rPr>
          <w:sz w:val="28"/>
          <w:szCs w:val="28"/>
        </w:rPr>
        <w:t>, содержание суммарной фракции ЛПОНП и ЛПНП и ХС (в мг) в полном объеме плазмы крови в среднем оказался ниже расчетных величин (см рис. 1; А).</w:t>
      </w:r>
      <w:proofErr w:type="gramEnd"/>
      <w:r w:rsidRPr="00276F54">
        <w:rPr>
          <w:sz w:val="28"/>
          <w:szCs w:val="28"/>
        </w:rPr>
        <w:t xml:space="preserve"> Это представляется вполне ожидаемым, поскольку в организме идет активный метаболизм </w:t>
      </w:r>
      <w:proofErr w:type="gramStart"/>
      <w:r w:rsidRPr="00276F54">
        <w:rPr>
          <w:sz w:val="28"/>
          <w:szCs w:val="28"/>
        </w:rPr>
        <w:t>введенных</w:t>
      </w:r>
      <w:proofErr w:type="gramEnd"/>
      <w:r w:rsidRPr="00276F54">
        <w:rPr>
          <w:sz w:val="28"/>
          <w:szCs w:val="28"/>
        </w:rPr>
        <w:t xml:space="preserve">  ЛП.  Однако у 10 (50%) кроликов фактические величины, изучавшихся липидов, оказались статистически значимо выше расчетных (</w:t>
      </w:r>
      <w:proofErr w:type="gramStart"/>
      <w:r w:rsidRPr="00276F54">
        <w:rPr>
          <w:sz w:val="28"/>
          <w:szCs w:val="28"/>
        </w:rPr>
        <w:t>см</w:t>
      </w:r>
      <w:proofErr w:type="gramEnd"/>
      <w:r w:rsidRPr="00276F54">
        <w:rPr>
          <w:sz w:val="28"/>
          <w:szCs w:val="28"/>
        </w:rPr>
        <w:t xml:space="preserve">. рис. 1; Б). </w:t>
      </w:r>
    </w:p>
    <w:p w:rsidR="00A2121B" w:rsidRPr="00276F54" w:rsidRDefault="00AA6739" w:rsidP="00276F54">
      <w:pPr>
        <w:ind w:firstLine="708"/>
        <w:jc w:val="both"/>
        <w:rPr>
          <w:sz w:val="28"/>
          <w:szCs w:val="28"/>
        </w:rPr>
      </w:pPr>
      <w:r w:rsidRPr="00276F54">
        <w:rPr>
          <w:sz w:val="28"/>
          <w:szCs w:val="28"/>
        </w:rPr>
        <w:t xml:space="preserve">Значительное, сверх расчетных величин нарастание фактического содержания </w:t>
      </w:r>
      <w:proofErr w:type="spellStart"/>
      <w:r w:rsidRPr="00276F54">
        <w:rPr>
          <w:sz w:val="28"/>
          <w:szCs w:val="28"/>
        </w:rPr>
        <w:t>атерогенных</w:t>
      </w:r>
      <w:proofErr w:type="spellEnd"/>
      <w:r w:rsidRPr="00276F54">
        <w:rPr>
          <w:sz w:val="28"/>
          <w:szCs w:val="28"/>
        </w:rPr>
        <w:t xml:space="preserve"> ЛП  и ХС в сыворотке крови кроликов группы</w:t>
      </w:r>
      <w:proofErr w:type="gramStart"/>
      <w:r w:rsidRPr="00276F54">
        <w:rPr>
          <w:sz w:val="28"/>
          <w:szCs w:val="28"/>
        </w:rPr>
        <w:t xml:space="preserve"> Б</w:t>
      </w:r>
      <w:proofErr w:type="gramEnd"/>
      <w:r w:rsidRPr="00276F54">
        <w:rPr>
          <w:sz w:val="28"/>
          <w:szCs w:val="28"/>
        </w:rPr>
        <w:t xml:space="preserve"> дает основание считать, что увеличение липидов у них было обусловлено не столько введением их извне, сколько было связано с вторичными изменениями липидного обмена, вызванными длительным внутривенным введением ЛП. Это позволяет заключить, что в </w:t>
      </w:r>
      <w:proofErr w:type="gramStart"/>
      <w:r w:rsidRPr="00276F54">
        <w:rPr>
          <w:sz w:val="28"/>
          <w:szCs w:val="28"/>
        </w:rPr>
        <w:t>патогенезе</w:t>
      </w:r>
      <w:proofErr w:type="gramEnd"/>
      <w:r w:rsidRPr="00276F54">
        <w:rPr>
          <w:sz w:val="28"/>
          <w:szCs w:val="28"/>
        </w:rPr>
        <w:t xml:space="preserve"> нарушений липидного обмена действительно присутствуют (по крайней мере, в 50% случаев) механизмы </w:t>
      </w:r>
      <w:proofErr w:type="spellStart"/>
      <w:r w:rsidRPr="00276F54">
        <w:rPr>
          <w:sz w:val="28"/>
          <w:szCs w:val="28"/>
        </w:rPr>
        <w:t>патоаутокинеза</w:t>
      </w:r>
      <w:proofErr w:type="spellEnd"/>
      <w:r w:rsidRPr="00276F54">
        <w:rPr>
          <w:sz w:val="28"/>
          <w:szCs w:val="28"/>
        </w:rPr>
        <w:t>.</w:t>
      </w:r>
    </w:p>
    <w:p w:rsidR="00A2121B" w:rsidRPr="00276F54" w:rsidRDefault="00AA6739" w:rsidP="00276F54">
      <w:pPr>
        <w:ind w:firstLine="708"/>
        <w:jc w:val="both"/>
        <w:rPr>
          <w:sz w:val="28"/>
          <w:szCs w:val="28"/>
        </w:rPr>
      </w:pPr>
      <w:r w:rsidRPr="00276F54">
        <w:rPr>
          <w:sz w:val="28"/>
          <w:szCs w:val="28"/>
        </w:rPr>
        <w:t xml:space="preserve">Результаты 2-й серии исследований свидетельствуют, что статистически значимое повышение концентрации липидов в крови у кроликов после </w:t>
      </w:r>
      <w:r w:rsidRPr="00276F54">
        <w:rPr>
          <w:sz w:val="28"/>
          <w:szCs w:val="28"/>
        </w:rPr>
        <w:lastRenderedPageBreak/>
        <w:t xml:space="preserve">прекращения введения </w:t>
      </w:r>
      <w:proofErr w:type="spellStart"/>
      <w:r w:rsidRPr="00276F54">
        <w:rPr>
          <w:sz w:val="28"/>
          <w:szCs w:val="28"/>
        </w:rPr>
        <w:t>апо-В-ЛП</w:t>
      </w:r>
      <w:proofErr w:type="spellEnd"/>
      <w:r w:rsidRPr="00276F54">
        <w:rPr>
          <w:sz w:val="28"/>
          <w:szCs w:val="28"/>
        </w:rPr>
        <w:t xml:space="preserve"> сохранялось на протяжении 30-40 суток, свидетельствуя о наличии механизма </w:t>
      </w:r>
      <w:proofErr w:type="spellStart"/>
      <w:r w:rsidRPr="00276F54">
        <w:rPr>
          <w:sz w:val="28"/>
          <w:szCs w:val="28"/>
        </w:rPr>
        <w:t>самоподдержания</w:t>
      </w:r>
      <w:proofErr w:type="spellEnd"/>
      <w:r w:rsidRPr="00276F54">
        <w:rPr>
          <w:sz w:val="28"/>
          <w:szCs w:val="28"/>
        </w:rPr>
        <w:t xml:space="preserve"> индуцированной ГЛП.</w:t>
      </w:r>
    </w:p>
    <w:p w:rsidR="00A2121B" w:rsidRPr="00276F54" w:rsidRDefault="00AA6739" w:rsidP="00276F54">
      <w:pPr>
        <w:ind w:firstLine="708"/>
        <w:jc w:val="both"/>
        <w:rPr>
          <w:sz w:val="28"/>
          <w:szCs w:val="28"/>
        </w:rPr>
      </w:pPr>
      <w:r w:rsidRPr="00276F54">
        <w:rPr>
          <w:sz w:val="28"/>
          <w:szCs w:val="28"/>
        </w:rPr>
        <w:t xml:space="preserve">Введение </w:t>
      </w:r>
      <w:proofErr w:type="spellStart"/>
      <w:r w:rsidRPr="00276F54">
        <w:rPr>
          <w:sz w:val="28"/>
          <w:szCs w:val="28"/>
        </w:rPr>
        <w:t>интралипида</w:t>
      </w:r>
      <w:proofErr w:type="spellEnd"/>
      <w:r w:rsidRPr="00276F54">
        <w:rPr>
          <w:sz w:val="28"/>
          <w:szCs w:val="28"/>
        </w:rPr>
        <w:t xml:space="preserve"> привело у этих кроликов к повышению концентрации суммарной фракции ЛПОНП и ЛПНП в сыворотке крови в 4,5 раза (</w:t>
      </w:r>
      <w:proofErr w:type="spellStart"/>
      <w:proofErr w:type="gramStart"/>
      <w:r w:rsidRPr="00276F54">
        <w:rPr>
          <w:sz w:val="28"/>
          <w:szCs w:val="28"/>
        </w:rPr>
        <w:t>р</w:t>
      </w:r>
      <w:proofErr w:type="spellEnd"/>
      <w:proofErr w:type="gramEnd"/>
      <w:r w:rsidRPr="00276F54">
        <w:rPr>
          <w:sz w:val="28"/>
          <w:szCs w:val="28"/>
        </w:rPr>
        <w:t xml:space="preserve"> &lt; 0,01), а возникшая у них </w:t>
      </w:r>
      <w:proofErr w:type="spellStart"/>
      <w:r w:rsidRPr="00276F54">
        <w:rPr>
          <w:sz w:val="28"/>
          <w:szCs w:val="28"/>
        </w:rPr>
        <w:t>гиперлипопротедемия</w:t>
      </w:r>
      <w:proofErr w:type="spellEnd"/>
      <w:r w:rsidRPr="00276F54">
        <w:rPr>
          <w:sz w:val="28"/>
          <w:szCs w:val="28"/>
        </w:rPr>
        <w:t xml:space="preserve"> сохранялась у всех подопытных животных на протяжении 3-х недель.</w:t>
      </w:r>
    </w:p>
    <w:p w:rsidR="00A2121B" w:rsidRPr="00276F54" w:rsidRDefault="00AA6739" w:rsidP="00276F54">
      <w:pPr>
        <w:jc w:val="both"/>
        <w:rPr>
          <w:sz w:val="28"/>
          <w:szCs w:val="28"/>
        </w:rPr>
      </w:pPr>
      <w:r w:rsidRPr="00276F54">
        <w:rPr>
          <w:sz w:val="28"/>
          <w:szCs w:val="28"/>
        </w:rPr>
        <w:tab/>
        <w:t xml:space="preserve">Эти результаты фактически полностью подтверждают выводы, сделанные из данных 1-й серии экспериментов. Более того, позволяют высказать мнение, что когда-либо </w:t>
      </w:r>
      <w:proofErr w:type="gramStart"/>
      <w:r w:rsidRPr="00276F54">
        <w:rPr>
          <w:sz w:val="28"/>
          <w:szCs w:val="28"/>
        </w:rPr>
        <w:t>перенесенная</w:t>
      </w:r>
      <w:proofErr w:type="gramEnd"/>
      <w:r w:rsidRPr="00276F54">
        <w:rPr>
          <w:sz w:val="28"/>
          <w:szCs w:val="28"/>
        </w:rPr>
        <w:t xml:space="preserve"> организмом ГЛП оставляет в нем глубокий след. Это, в частности, проявляется резким и длительным всплеском ГЛП после даже кратковременной нагрузки липидами.</w:t>
      </w:r>
    </w:p>
    <w:p w:rsidR="00A2121B" w:rsidRPr="00276F54" w:rsidRDefault="00AA6739" w:rsidP="00276F54">
      <w:pPr>
        <w:ind w:firstLine="708"/>
        <w:jc w:val="both"/>
        <w:rPr>
          <w:sz w:val="28"/>
          <w:szCs w:val="28"/>
        </w:rPr>
      </w:pPr>
      <w:r w:rsidRPr="00276F54">
        <w:rPr>
          <w:sz w:val="28"/>
          <w:szCs w:val="28"/>
        </w:rPr>
        <w:t xml:space="preserve">Осторожная экстраполяция полученных данных на человека, позволяет предположить, что при наличии </w:t>
      </w:r>
      <w:proofErr w:type="spellStart"/>
      <w:r w:rsidRPr="00276F54">
        <w:rPr>
          <w:sz w:val="28"/>
          <w:szCs w:val="28"/>
        </w:rPr>
        <w:t>гиперхолестеринемии</w:t>
      </w:r>
      <w:proofErr w:type="spellEnd"/>
      <w:r w:rsidRPr="00276F54">
        <w:rPr>
          <w:sz w:val="28"/>
          <w:szCs w:val="28"/>
        </w:rPr>
        <w:t xml:space="preserve"> в настоящее время и перенесении таковой в прошлом любой эксцесс в диете с потреблением большого количества </w:t>
      </w:r>
      <w:proofErr w:type="spellStart"/>
      <w:r w:rsidRPr="00276F54">
        <w:rPr>
          <w:sz w:val="28"/>
          <w:szCs w:val="28"/>
        </w:rPr>
        <w:t>атерогенных</w:t>
      </w:r>
      <w:proofErr w:type="spellEnd"/>
      <w:r w:rsidRPr="00276F54">
        <w:rPr>
          <w:sz w:val="28"/>
          <w:szCs w:val="28"/>
        </w:rPr>
        <w:t xml:space="preserve"> ЛП способен активировать </w:t>
      </w:r>
      <w:proofErr w:type="spellStart"/>
      <w:r w:rsidRPr="00276F54">
        <w:rPr>
          <w:sz w:val="28"/>
          <w:szCs w:val="28"/>
        </w:rPr>
        <w:t>патоаутокинетические</w:t>
      </w:r>
      <w:proofErr w:type="spellEnd"/>
      <w:r w:rsidRPr="00276F54">
        <w:rPr>
          <w:sz w:val="28"/>
          <w:szCs w:val="28"/>
        </w:rPr>
        <w:t xml:space="preserve"> механизмы, лежащие в основе развития атеросклероза.</w:t>
      </w:r>
    </w:p>
    <w:p w:rsidR="00A2121B" w:rsidRPr="00276F54" w:rsidRDefault="00AA6739" w:rsidP="00276F54">
      <w:pPr>
        <w:jc w:val="both"/>
        <w:rPr>
          <w:sz w:val="28"/>
          <w:szCs w:val="28"/>
        </w:rPr>
      </w:pPr>
      <w:r w:rsidRPr="00276F54">
        <w:rPr>
          <w:sz w:val="28"/>
          <w:szCs w:val="28"/>
        </w:rPr>
        <w:tab/>
        <w:t xml:space="preserve">Динамика изменений показателей радиоактивности суммарной фракции сывороточных ЛПОНП и ЛПНП и </w:t>
      </w:r>
      <w:proofErr w:type="spellStart"/>
      <w:r w:rsidRPr="00276F54">
        <w:rPr>
          <w:sz w:val="28"/>
          <w:szCs w:val="28"/>
        </w:rPr>
        <w:t>гомогенатов</w:t>
      </w:r>
      <w:proofErr w:type="spellEnd"/>
      <w:r w:rsidRPr="00276F54">
        <w:rPr>
          <w:sz w:val="28"/>
          <w:szCs w:val="28"/>
        </w:rPr>
        <w:t xml:space="preserve"> печени у </w:t>
      </w:r>
      <w:proofErr w:type="spellStart"/>
      <w:r w:rsidRPr="00276F54">
        <w:rPr>
          <w:sz w:val="28"/>
          <w:szCs w:val="28"/>
        </w:rPr>
        <w:t>интактных</w:t>
      </w:r>
      <w:proofErr w:type="spellEnd"/>
      <w:r w:rsidRPr="00276F54">
        <w:rPr>
          <w:sz w:val="28"/>
          <w:szCs w:val="28"/>
        </w:rPr>
        <w:t xml:space="preserve"> кроликов и </w:t>
      </w:r>
      <w:proofErr w:type="gramStart"/>
      <w:r w:rsidRPr="00276F54">
        <w:rPr>
          <w:sz w:val="28"/>
          <w:szCs w:val="28"/>
        </w:rPr>
        <w:t>с</w:t>
      </w:r>
      <w:proofErr w:type="gramEnd"/>
      <w:r w:rsidRPr="00276F54">
        <w:rPr>
          <w:sz w:val="28"/>
          <w:szCs w:val="28"/>
        </w:rPr>
        <w:t xml:space="preserve"> экспериментальной ГЛП представлена соответственно на рис. 2 и 3.</w:t>
      </w:r>
    </w:p>
    <w:p w:rsidR="00A2121B" w:rsidRPr="00276F54" w:rsidRDefault="00AA6739" w:rsidP="00276F54">
      <w:pPr>
        <w:jc w:val="both"/>
        <w:rPr>
          <w:sz w:val="28"/>
          <w:szCs w:val="28"/>
        </w:rPr>
      </w:pPr>
      <w:r w:rsidRPr="00276F54">
        <w:rPr>
          <w:sz w:val="28"/>
          <w:szCs w:val="28"/>
        </w:rPr>
        <w:tab/>
        <w:t>Как свидетельствуют представленные данные (</w:t>
      </w:r>
      <w:proofErr w:type="gramStart"/>
      <w:r w:rsidRPr="00276F54">
        <w:rPr>
          <w:sz w:val="28"/>
          <w:szCs w:val="28"/>
        </w:rPr>
        <w:t>см</w:t>
      </w:r>
      <w:proofErr w:type="gramEnd"/>
      <w:r w:rsidRPr="00276F54">
        <w:rPr>
          <w:sz w:val="28"/>
          <w:szCs w:val="28"/>
        </w:rPr>
        <w:t xml:space="preserve">. рис. 2), при экспериментальной ГЛП у кроликов после введения сывороточных ЛПОНП и ЛПНП меченных - </w:t>
      </w:r>
      <w:r w:rsidRPr="00276F54">
        <w:rPr>
          <w:sz w:val="28"/>
          <w:szCs w:val="28"/>
          <w:lang w:val="en-US"/>
        </w:rPr>
        <w:t>J</w:t>
      </w:r>
      <w:r w:rsidRPr="00276F54">
        <w:rPr>
          <w:sz w:val="28"/>
          <w:szCs w:val="28"/>
          <w:vertAlign w:val="superscript"/>
        </w:rPr>
        <w:t>131</w:t>
      </w:r>
      <w:r w:rsidRPr="00276F54">
        <w:rPr>
          <w:sz w:val="28"/>
          <w:szCs w:val="28"/>
        </w:rPr>
        <w:t xml:space="preserve">, наблюдается качественно иной характер изменений их радиоактивности, чем  у </w:t>
      </w:r>
      <w:proofErr w:type="spellStart"/>
      <w:r w:rsidRPr="00276F54">
        <w:rPr>
          <w:sz w:val="28"/>
          <w:szCs w:val="28"/>
        </w:rPr>
        <w:t>интактных</w:t>
      </w:r>
      <w:proofErr w:type="spellEnd"/>
      <w:r w:rsidRPr="00276F54">
        <w:rPr>
          <w:sz w:val="28"/>
          <w:szCs w:val="28"/>
        </w:rPr>
        <w:t xml:space="preserve"> кроликов. Следует отметить, что наибольшие различия (</w:t>
      </w:r>
      <w:proofErr w:type="spellStart"/>
      <w:proofErr w:type="gramStart"/>
      <w:r w:rsidRPr="00276F54">
        <w:rPr>
          <w:sz w:val="28"/>
          <w:szCs w:val="28"/>
        </w:rPr>
        <w:t>р</w:t>
      </w:r>
      <w:proofErr w:type="spellEnd"/>
      <w:proofErr w:type="gramEnd"/>
      <w:r w:rsidRPr="00276F54">
        <w:rPr>
          <w:sz w:val="28"/>
          <w:szCs w:val="28"/>
        </w:rPr>
        <w:t xml:space="preserve"> &lt; 0,05-0,01)  обнаруживаются  через 12 и 24 часа после внутривенного введения меченых ЛП. Полученные данные позволяют предположить, что изменение показателей абсолютной радиоактивности плазменных ЛП при ГЛП обусловлены при экспериментальной </w:t>
      </w:r>
      <w:proofErr w:type="spellStart"/>
      <w:r w:rsidRPr="00276F54">
        <w:rPr>
          <w:sz w:val="28"/>
          <w:szCs w:val="28"/>
        </w:rPr>
        <w:t>гиперлипидемии</w:t>
      </w:r>
      <w:proofErr w:type="spellEnd"/>
      <w:r w:rsidRPr="00276F54">
        <w:rPr>
          <w:sz w:val="28"/>
          <w:szCs w:val="28"/>
        </w:rPr>
        <w:t xml:space="preserve">   затруднением их элиминации из крови.</w:t>
      </w:r>
    </w:p>
    <w:p w:rsidR="00A2121B" w:rsidRPr="00276F54" w:rsidRDefault="00AA6739" w:rsidP="00276F54">
      <w:pPr>
        <w:jc w:val="both"/>
        <w:rPr>
          <w:sz w:val="28"/>
          <w:szCs w:val="28"/>
        </w:rPr>
      </w:pPr>
      <w:r w:rsidRPr="00276F54">
        <w:rPr>
          <w:sz w:val="28"/>
          <w:szCs w:val="28"/>
        </w:rPr>
        <w:tab/>
      </w:r>
      <w:proofErr w:type="gramStart"/>
      <w:r w:rsidRPr="00276F54">
        <w:rPr>
          <w:sz w:val="28"/>
          <w:szCs w:val="28"/>
        </w:rPr>
        <w:t xml:space="preserve">Результаты исследования </w:t>
      </w:r>
      <w:proofErr w:type="spellStart"/>
      <w:r w:rsidRPr="00276F54">
        <w:rPr>
          <w:sz w:val="28"/>
          <w:szCs w:val="28"/>
        </w:rPr>
        <w:t>гомогенатов</w:t>
      </w:r>
      <w:proofErr w:type="spellEnd"/>
      <w:r w:rsidRPr="00276F54">
        <w:rPr>
          <w:sz w:val="28"/>
          <w:szCs w:val="28"/>
        </w:rPr>
        <w:t xml:space="preserve"> печени через 12 и 24 часа после введения меченых ЛП показали (см. рис. 3), что радиоактивность проб печени при экспериментальной ГЛП выше, чем у </w:t>
      </w:r>
      <w:proofErr w:type="spellStart"/>
      <w:r w:rsidRPr="00276F54">
        <w:rPr>
          <w:sz w:val="28"/>
          <w:szCs w:val="28"/>
        </w:rPr>
        <w:t>интактных</w:t>
      </w:r>
      <w:proofErr w:type="spellEnd"/>
      <w:r w:rsidRPr="00276F54">
        <w:rPr>
          <w:sz w:val="28"/>
          <w:szCs w:val="28"/>
        </w:rPr>
        <w:t xml:space="preserve"> животных, причем через 24 часа различия становятся статистически значимыми.</w:t>
      </w:r>
      <w:proofErr w:type="gramEnd"/>
    </w:p>
    <w:p w:rsidR="00A2121B" w:rsidRPr="00276F54" w:rsidRDefault="00AA6739" w:rsidP="00276F54">
      <w:pPr>
        <w:jc w:val="both"/>
        <w:rPr>
          <w:sz w:val="28"/>
          <w:szCs w:val="28"/>
        </w:rPr>
      </w:pPr>
      <w:r w:rsidRPr="00276F54">
        <w:rPr>
          <w:sz w:val="28"/>
          <w:szCs w:val="28"/>
        </w:rPr>
        <w:tab/>
        <w:t xml:space="preserve">Фактически это означает, что у кроликов с экспериментальной ГЛП наблюдается замедление скорости элиминации </w:t>
      </w:r>
      <w:proofErr w:type="spellStart"/>
      <w:r w:rsidRPr="00276F54">
        <w:rPr>
          <w:sz w:val="28"/>
          <w:szCs w:val="28"/>
        </w:rPr>
        <w:t>атерогенных</w:t>
      </w:r>
      <w:proofErr w:type="spellEnd"/>
      <w:r w:rsidRPr="00276F54">
        <w:rPr>
          <w:sz w:val="28"/>
          <w:szCs w:val="28"/>
        </w:rPr>
        <w:t xml:space="preserve"> ЛП и накопление этих частиц в клетках печени. Более того, складывается впечатление, что печень сама в этих условиях начинает поддерживать </w:t>
      </w:r>
      <w:proofErr w:type="spellStart"/>
      <w:r w:rsidRPr="00276F54">
        <w:rPr>
          <w:sz w:val="28"/>
          <w:szCs w:val="28"/>
        </w:rPr>
        <w:t>атерогенные</w:t>
      </w:r>
      <w:proofErr w:type="spellEnd"/>
      <w:r w:rsidRPr="00276F54">
        <w:rPr>
          <w:sz w:val="28"/>
          <w:szCs w:val="28"/>
        </w:rPr>
        <w:t xml:space="preserve"> нарушения липидного состава крови.</w:t>
      </w:r>
    </w:p>
    <w:p w:rsidR="00A2121B" w:rsidRPr="00276F54" w:rsidRDefault="00AA6739" w:rsidP="00276F54">
      <w:pPr>
        <w:jc w:val="both"/>
        <w:rPr>
          <w:sz w:val="28"/>
          <w:szCs w:val="28"/>
        </w:rPr>
      </w:pPr>
      <w:r w:rsidRPr="00276F54">
        <w:rPr>
          <w:sz w:val="28"/>
          <w:szCs w:val="28"/>
        </w:rPr>
        <w:tab/>
        <w:t xml:space="preserve">Результаты представленных экспериментов позволяют со всей определенностью считать, что в </w:t>
      </w:r>
      <w:proofErr w:type="gramStart"/>
      <w:r w:rsidRPr="00276F54">
        <w:rPr>
          <w:sz w:val="28"/>
          <w:szCs w:val="28"/>
        </w:rPr>
        <w:t>поддержании</w:t>
      </w:r>
      <w:proofErr w:type="gramEnd"/>
      <w:r w:rsidRPr="00276F54">
        <w:rPr>
          <w:sz w:val="28"/>
          <w:szCs w:val="28"/>
        </w:rPr>
        <w:t xml:space="preserve"> ГЛП отчетливо присутствуют механизмы </w:t>
      </w:r>
      <w:proofErr w:type="spellStart"/>
      <w:r w:rsidRPr="00276F54">
        <w:rPr>
          <w:sz w:val="28"/>
          <w:szCs w:val="28"/>
        </w:rPr>
        <w:t>патоаутокинеза</w:t>
      </w:r>
      <w:proofErr w:type="spellEnd"/>
      <w:r w:rsidRPr="00276F54">
        <w:rPr>
          <w:sz w:val="28"/>
          <w:szCs w:val="28"/>
        </w:rPr>
        <w:t xml:space="preserve">. И, действительно, экспериментально вызванная ГЛП после окончания введения липидов не заканчивается сразу, она за счет </w:t>
      </w:r>
      <w:proofErr w:type="spellStart"/>
      <w:r w:rsidRPr="00276F54">
        <w:rPr>
          <w:sz w:val="28"/>
          <w:szCs w:val="28"/>
        </w:rPr>
        <w:t>аутопатогкинеза</w:t>
      </w:r>
      <w:proofErr w:type="spellEnd"/>
      <w:r w:rsidRPr="00276F54">
        <w:rPr>
          <w:sz w:val="28"/>
          <w:szCs w:val="28"/>
        </w:rPr>
        <w:t xml:space="preserve"> длится достаточно длительное время.  Более того, новое введение липидов закономерно провоцирует сохранение и, возможно, дальнейшее развитие  ГЛП. При этом ГЛП в указанном случае  поддерживается самим организмом и, в частности, печенью.</w:t>
      </w:r>
    </w:p>
    <w:p w:rsidR="00A2121B" w:rsidRPr="00276F54" w:rsidRDefault="00AA6739" w:rsidP="00276F54">
      <w:pPr>
        <w:jc w:val="both"/>
        <w:rPr>
          <w:sz w:val="28"/>
          <w:szCs w:val="28"/>
        </w:rPr>
      </w:pPr>
      <w:r w:rsidRPr="00276F54">
        <w:rPr>
          <w:sz w:val="28"/>
          <w:szCs w:val="28"/>
        </w:rPr>
        <w:lastRenderedPageBreak/>
        <w:tab/>
        <w:t xml:space="preserve">Проведенные исследования свидетельствуют, что у части кроликов имеются внутренние, пока не изученные механизмы, которые способны достаточно быстро включаться и самостоятельно прерывать </w:t>
      </w:r>
      <w:proofErr w:type="spellStart"/>
      <w:r w:rsidRPr="00276F54">
        <w:rPr>
          <w:sz w:val="28"/>
          <w:szCs w:val="28"/>
        </w:rPr>
        <w:t>патоаутокинез</w:t>
      </w:r>
      <w:proofErr w:type="spellEnd"/>
      <w:r w:rsidRPr="00276F54">
        <w:rPr>
          <w:sz w:val="28"/>
          <w:szCs w:val="28"/>
        </w:rPr>
        <w:t xml:space="preserve"> (</w:t>
      </w:r>
      <w:proofErr w:type="spellStart"/>
      <w:r w:rsidRPr="00276F54">
        <w:rPr>
          <w:sz w:val="28"/>
          <w:szCs w:val="28"/>
        </w:rPr>
        <w:t>самоподдержания</w:t>
      </w:r>
      <w:proofErr w:type="spellEnd"/>
      <w:r w:rsidRPr="00276F54">
        <w:rPr>
          <w:sz w:val="28"/>
          <w:szCs w:val="28"/>
        </w:rPr>
        <w:t>) ГЛП (атеросклероза). Однако надо полагать,  что для достаточно быстрой нормализации липидного обмена экзальтированного экзогенной ГЛП у значительной части  кроликов требуется внешнее, например, медикаментозное воздействие.</w:t>
      </w:r>
    </w:p>
    <w:p w:rsidR="00A2121B" w:rsidRPr="00276F54" w:rsidRDefault="00AA6739" w:rsidP="00276F54">
      <w:pPr>
        <w:ind w:firstLine="708"/>
        <w:jc w:val="both"/>
        <w:rPr>
          <w:b/>
          <w:sz w:val="28"/>
          <w:szCs w:val="28"/>
        </w:rPr>
      </w:pPr>
      <w:r w:rsidRPr="00276F54">
        <w:rPr>
          <w:b/>
          <w:sz w:val="28"/>
          <w:szCs w:val="28"/>
        </w:rPr>
        <w:t>Заключение</w:t>
      </w:r>
    </w:p>
    <w:p w:rsidR="00A2121B" w:rsidRPr="00276F54" w:rsidRDefault="00AA6739" w:rsidP="00276F54">
      <w:pPr>
        <w:ind w:firstLine="708"/>
        <w:jc w:val="both"/>
        <w:rPr>
          <w:sz w:val="28"/>
          <w:szCs w:val="28"/>
        </w:rPr>
      </w:pPr>
      <w:r w:rsidRPr="00276F54">
        <w:rPr>
          <w:sz w:val="28"/>
          <w:szCs w:val="28"/>
        </w:rPr>
        <w:t xml:space="preserve">Принимая во внимание результаты экспериментального исследования и данные литературы, можно сказать, что механизмы </w:t>
      </w:r>
      <w:proofErr w:type="spellStart"/>
      <w:r w:rsidRPr="00276F54">
        <w:rPr>
          <w:sz w:val="28"/>
          <w:szCs w:val="28"/>
        </w:rPr>
        <w:t>патоаутокинеза</w:t>
      </w:r>
      <w:proofErr w:type="spellEnd"/>
      <w:r w:rsidRPr="00276F54">
        <w:rPr>
          <w:sz w:val="28"/>
          <w:szCs w:val="28"/>
        </w:rPr>
        <w:t xml:space="preserve"> отчетливо просматриваются не только у кроликов с экспериментальной ГЛП, но и у больных ишемической болезнью сердца (ИБС). В частности, хорошо известен факт, что с помощью строгой диеты у больных ИБС или вообще у лиц с ГЛП можно снизить уровень общего холестерина крови в среднем всего лишь на 10%, что явно недостаточно, чтобы радикально повлиять на  течение атеросклероза. При этом стоит лишь пациенту даже на короткое время  прекратить рекомендованную диету как уровень холестерина возвращается к исходным величинам. Иными словами, ГЛП в </w:t>
      </w:r>
      <w:proofErr w:type="gramStart"/>
      <w:r w:rsidRPr="00276F54">
        <w:rPr>
          <w:sz w:val="28"/>
          <w:szCs w:val="28"/>
        </w:rPr>
        <w:t>этом</w:t>
      </w:r>
      <w:proofErr w:type="gramEnd"/>
      <w:r w:rsidRPr="00276F54">
        <w:rPr>
          <w:sz w:val="28"/>
          <w:szCs w:val="28"/>
        </w:rPr>
        <w:t xml:space="preserve"> случае поддерживается эндогенными механизмами. Или другая известная ситуация, связанная  с применением </w:t>
      </w:r>
      <w:proofErr w:type="spellStart"/>
      <w:r w:rsidRPr="00276F54">
        <w:rPr>
          <w:sz w:val="28"/>
          <w:szCs w:val="28"/>
        </w:rPr>
        <w:t>липотропных</w:t>
      </w:r>
      <w:proofErr w:type="spellEnd"/>
      <w:r w:rsidRPr="00276F54">
        <w:rPr>
          <w:sz w:val="28"/>
          <w:szCs w:val="28"/>
        </w:rPr>
        <w:t xml:space="preserve"> препаратов. Известно, что с помощью </w:t>
      </w:r>
      <w:proofErr w:type="spellStart"/>
      <w:r w:rsidRPr="00276F54">
        <w:rPr>
          <w:sz w:val="28"/>
          <w:szCs w:val="28"/>
        </w:rPr>
        <w:t>статинов</w:t>
      </w:r>
      <w:proofErr w:type="spellEnd"/>
      <w:r w:rsidRPr="00276F54">
        <w:rPr>
          <w:sz w:val="28"/>
          <w:szCs w:val="28"/>
        </w:rPr>
        <w:t xml:space="preserve"> можно снизить уровень холестерина в крови на 40% и поддерживать на достигнутом уровне длительно. Это позволяет остановить прогрессирование атеросклероза и даже добиться его «регресса», о чем свидетельствуют многочисленные </w:t>
      </w:r>
      <w:proofErr w:type="spellStart"/>
      <w:r w:rsidRPr="00276F54">
        <w:rPr>
          <w:sz w:val="28"/>
          <w:szCs w:val="28"/>
        </w:rPr>
        <w:t>проспективные</w:t>
      </w:r>
      <w:proofErr w:type="spellEnd"/>
      <w:r w:rsidRPr="00276F54">
        <w:rPr>
          <w:sz w:val="28"/>
          <w:szCs w:val="28"/>
        </w:rPr>
        <w:t xml:space="preserve"> </w:t>
      </w:r>
      <w:proofErr w:type="spellStart"/>
      <w:r w:rsidRPr="00276F54">
        <w:rPr>
          <w:sz w:val="28"/>
          <w:szCs w:val="28"/>
        </w:rPr>
        <w:t>плацебоконтролируемые</w:t>
      </w:r>
      <w:proofErr w:type="spellEnd"/>
      <w:r w:rsidRPr="00276F54">
        <w:rPr>
          <w:sz w:val="28"/>
          <w:szCs w:val="28"/>
        </w:rPr>
        <w:t xml:space="preserve"> исследования </w:t>
      </w:r>
      <w:r w:rsidRPr="00276F54">
        <w:rPr>
          <w:sz w:val="28"/>
          <w:szCs w:val="28"/>
        </w:rPr>
        <w:sym w:font="Symbol" w:char="F05B"/>
      </w:r>
      <w:r w:rsidRPr="00276F54">
        <w:rPr>
          <w:sz w:val="28"/>
          <w:szCs w:val="28"/>
        </w:rPr>
        <w:t>4, 5, 6</w:t>
      </w:r>
      <w:r w:rsidRPr="00276F54">
        <w:rPr>
          <w:sz w:val="28"/>
          <w:szCs w:val="28"/>
        </w:rPr>
        <w:sym w:font="Symbol" w:char="F05D"/>
      </w:r>
      <w:r w:rsidRPr="00276F54">
        <w:rPr>
          <w:sz w:val="28"/>
          <w:szCs w:val="28"/>
        </w:rPr>
        <w:t>.   Однако даже кратковременное прекращение лекарственного влияния все возвращает «на круги своя».</w:t>
      </w:r>
    </w:p>
    <w:p w:rsidR="00A2121B" w:rsidRPr="00276F54" w:rsidRDefault="00AA6739" w:rsidP="00276F54">
      <w:pPr>
        <w:ind w:firstLine="708"/>
        <w:jc w:val="both"/>
        <w:rPr>
          <w:sz w:val="28"/>
          <w:szCs w:val="28"/>
        </w:rPr>
      </w:pPr>
      <w:r w:rsidRPr="00276F54">
        <w:rPr>
          <w:sz w:val="28"/>
          <w:szCs w:val="28"/>
        </w:rPr>
        <w:t xml:space="preserve">Представление о ГЛП (атеросклерозе), как патологическом процессе, в основе которого лежит механизм </w:t>
      </w:r>
      <w:proofErr w:type="spellStart"/>
      <w:r w:rsidRPr="00276F54">
        <w:rPr>
          <w:sz w:val="28"/>
          <w:szCs w:val="28"/>
        </w:rPr>
        <w:t>патоаутокинеза</w:t>
      </w:r>
      <w:proofErr w:type="spellEnd"/>
      <w:r w:rsidRPr="00276F54">
        <w:rPr>
          <w:sz w:val="28"/>
          <w:szCs w:val="28"/>
        </w:rPr>
        <w:t xml:space="preserve">, имеет принципиальное значение, поскольку обосновывает непрерывное, по существу пожизненное, применение </w:t>
      </w:r>
      <w:proofErr w:type="spellStart"/>
      <w:r w:rsidRPr="00276F54">
        <w:rPr>
          <w:sz w:val="28"/>
          <w:szCs w:val="28"/>
        </w:rPr>
        <w:t>липотропных</w:t>
      </w:r>
      <w:proofErr w:type="spellEnd"/>
      <w:r w:rsidRPr="00276F54">
        <w:rPr>
          <w:sz w:val="28"/>
          <w:szCs w:val="28"/>
        </w:rPr>
        <w:t xml:space="preserve"> препаратов и, прежде всего, </w:t>
      </w:r>
      <w:proofErr w:type="spellStart"/>
      <w:r w:rsidRPr="00276F54">
        <w:rPr>
          <w:sz w:val="28"/>
          <w:szCs w:val="28"/>
        </w:rPr>
        <w:t>статинов</w:t>
      </w:r>
      <w:proofErr w:type="spellEnd"/>
      <w:r w:rsidRPr="00276F54">
        <w:rPr>
          <w:sz w:val="28"/>
          <w:szCs w:val="28"/>
        </w:rPr>
        <w:t xml:space="preserve">, всеми больными ИБС и пациентами с ГЛП. </w:t>
      </w:r>
      <w:proofErr w:type="gramStart"/>
      <w:r w:rsidRPr="00276F54">
        <w:rPr>
          <w:sz w:val="28"/>
          <w:szCs w:val="28"/>
        </w:rPr>
        <w:t xml:space="preserve">На основании проведенных экспериментов можно высказать мнение, что </w:t>
      </w:r>
      <w:proofErr w:type="spellStart"/>
      <w:r w:rsidRPr="00276F54">
        <w:rPr>
          <w:sz w:val="28"/>
          <w:szCs w:val="28"/>
        </w:rPr>
        <w:t>статины</w:t>
      </w:r>
      <w:proofErr w:type="spellEnd"/>
      <w:r w:rsidRPr="00276F54">
        <w:rPr>
          <w:sz w:val="28"/>
          <w:szCs w:val="28"/>
        </w:rPr>
        <w:t xml:space="preserve"> показаны даже тем больным  ИБС, у которых в момент обследования общий уровень холестерина в крови (или холестерина липопротеидов низкой плотности) находится в пределах нормы, поскольку у них, согласно данных  эксперимента, надо полагать, всегда имеется готовность организма выдать ГЛП и длительно ее поддерживать под влиянием даже случайного нарушения диеты.</w:t>
      </w:r>
      <w:proofErr w:type="gramEnd"/>
      <w:r w:rsidRPr="00276F54">
        <w:rPr>
          <w:sz w:val="28"/>
          <w:szCs w:val="28"/>
        </w:rPr>
        <w:t xml:space="preserve"> Однако следует отметить, что последний аспект требует проведения серьезных клинических исследований.</w:t>
      </w:r>
    </w:p>
    <w:p w:rsidR="00A2121B" w:rsidRPr="00276F54" w:rsidRDefault="00A2121B" w:rsidP="00276F54">
      <w:pPr>
        <w:ind w:firstLine="708"/>
        <w:jc w:val="both"/>
        <w:rPr>
          <w:sz w:val="28"/>
          <w:szCs w:val="28"/>
        </w:rPr>
      </w:pPr>
    </w:p>
    <w:p w:rsidR="00A2121B" w:rsidRPr="00276F54" w:rsidRDefault="00AA6739" w:rsidP="00276F54">
      <w:pPr>
        <w:ind w:firstLine="708"/>
        <w:jc w:val="both"/>
        <w:rPr>
          <w:b/>
          <w:sz w:val="28"/>
          <w:szCs w:val="28"/>
        </w:rPr>
      </w:pPr>
      <w:r w:rsidRPr="00276F54">
        <w:rPr>
          <w:b/>
          <w:sz w:val="28"/>
          <w:szCs w:val="28"/>
        </w:rPr>
        <w:t>Литература</w:t>
      </w:r>
    </w:p>
    <w:p w:rsidR="00A2121B" w:rsidRPr="00276F54" w:rsidRDefault="00AA6739" w:rsidP="00276F54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276F54">
        <w:rPr>
          <w:sz w:val="28"/>
          <w:szCs w:val="28"/>
        </w:rPr>
        <w:t>Давыдовский</w:t>
      </w:r>
      <w:proofErr w:type="spellEnd"/>
      <w:r w:rsidRPr="00276F54">
        <w:rPr>
          <w:sz w:val="28"/>
          <w:szCs w:val="28"/>
        </w:rPr>
        <w:t xml:space="preserve"> И.Б. Проблема причинности в медицине: экология. – М.: </w:t>
      </w:r>
      <w:proofErr w:type="spellStart"/>
      <w:r w:rsidRPr="00276F54">
        <w:rPr>
          <w:sz w:val="28"/>
          <w:szCs w:val="28"/>
        </w:rPr>
        <w:t>Медгиз</w:t>
      </w:r>
      <w:proofErr w:type="spellEnd"/>
      <w:r w:rsidRPr="00276F54">
        <w:rPr>
          <w:sz w:val="28"/>
          <w:szCs w:val="28"/>
        </w:rPr>
        <w:t>. – 1962. – 176 с.</w:t>
      </w:r>
    </w:p>
    <w:p w:rsidR="00A2121B" w:rsidRPr="00276F54" w:rsidRDefault="00AA6739" w:rsidP="00276F54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276F54">
        <w:rPr>
          <w:sz w:val="28"/>
          <w:szCs w:val="28"/>
        </w:rPr>
        <w:t>Крыжановский</w:t>
      </w:r>
      <w:proofErr w:type="spellEnd"/>
      <w:r w:rsidRPr="00276F54">
        <w:rPr>
          <w:sz w:val="28"/>
          <w:szCs w:val="28"/>
        </w:rPr>
        <w:t xml:space="preserve"> Г.Н. Общая патофизиология нервной системы. – М.: Медицина. – 1997. – 353 </w:t>
      </w:r>
      <w:proofErr w:type="gramStart"/>
      <w:r w:rsidRPr="00276F54">
        <w:rPr>
          <w:sz w:val="28"/>
          <w:szCs w:val="28"/>
        </w:rPr>
        <w:t>с</w:t>
      </w:r>
      <w:proofErr w:type="gramEnd"/>
      <w:r w:rsidRPr="00276F54">
        <w:rPr>
          <w:sz w:val="28"/>
          <w:szCs w:val="28"/>
        </w:rPr>
        <w:t>.</w:t>
      </w:r>
    </w:p>
    <w:p w:rsidR="00A2121B" w:rsidRPr="00276F54" w:rsidRDefault="00AA6739" w:rsidP="00276F54">
      <w:pPr>
        <w:numPr>
          <w:ilvl w:val="0"/>
          <w:numId w:val="1"/>
        </w:numPr>
        <w:jc w:val="both"/>
        <w:rPr>
          <w:sz w:val="28"/>
          <w:szCs w:val="28"/>
        </w:rPr>
      </w:pPr>
      <w:r w:rsidRPr="00276F54">
        <w:rPr>
          <w:sz w:val="28"/>
          <w:szCs w:val="28"/>
        </w:rPr>
        <w:lastRenderedPageBreak/>
        <w:t xml:space="preserve">Калинкин М.Н., Волков В.С., </w:t>
      </w:r>
      <w:proofErr w:type="spellStart"/>
      <w:r w:rsidRPr="00276F54">
        <w:rPr>
          <w:sz w:val="28"/>
          <w:szCs w:val="28"/>
        </w:rPr>
        <w:t>Заварин</w:t>
      </w:r>
      <w:proofErr w:type="spellEnd"/>
      <w:r w:rsidRPr="00276F54">
        <w:rPr>
          <w:sz w:val="28"/>
          <w:szCs w:val="28"/>
        </w:rPr>
        <w:t xml:space="preserve"> В.В. Атеросклероз: патофизиология, лечение, первичная профилактика. Тверь. – «РИЦ ТГМА». – 2009. – 215 с.</w:t>
      </w:r>
    </w:p>
    <w:p w:rsidR="00A2121B" w:rsidRPr="00276F54" w:rsidRDefault="00AA6739" w:rsidP="00276F54">
      <w:pPr>
        <w:numPr>
          <w:ilvl w:val="0"/>
          <w:numId w:val="1"/>
        </w:numPr>
        <w:jc w:val="both"/>
        <w:rPr>
          <w:sz w:val="28"/>
          <w:szCs w:val="28"/>
        </w:rPr>
      </w:pPr>
      <w:r w:rsidRPr="00276F54">
        <w:rPr>
          <w:sz w:val="28"/>
          <w:szCs w:val="28"/>
        </w:rPr>
        <w:t>Аронов Д.М. Лечение и профилактика атеросклероза. М. – 2000. – 411 с.</w:t>
      </w:r>
    </w:p>
    <w:p w:rsidR="00A2121B" w:rsidRPr="002A1125" w:rsidRDefault="00AA6739" w:rsidP="00276F54">
      <w:pPr>
        <w:numPr>
          <w:ilvl w:val="0"/>
          <w:numId w:val="1"/>
        </w:numPr>
        <w:jc w:val="both"/>
        <w:rPr>
          <w:sz w:val="28"/>
          <w:szCs w:val="28"/>
        </w:rPr>
      </w:pPr>
      <w:r w:rsidRPr="00276F54">
        <w:rPr>
          <w:sz w:val="28"/>
          <w:szCs w:val="28"/>
        </w:rPr>
        <w:t xml:space="preserve">Сусеков А.В. Регрессия атеросклероза при терапии </w:t>
      </w:r>
      <w:proofErr w:type="spellStart"/>
      <w:r w:rsidRPr="00276F54">
        <w:rPr>
          <w:sz w:val="28"/>
          <w:szCs w:val="28"/>
        </w:rPr>
        <w:t>статинами</w:t>
      </w:r>
      <w:proofErr w:type="spellEnd"/>
      <w:r w:rsidRPr="00276F54">
        <w:rPr>
          <w:sz w:val="28"/>
          <w:szCs w:val="28"/>
        </w:rPr>
        <w:t>. Кардиоваскулярная терапия и профилактика. – 2010. - № 9. – С. 112-117.</w:t>
      </w:r>
    </w:p>
    <w:p w:rsidR="002A1125" w:rsidRPr="002A1125" w:rsidRDefault="002A1125" w:rsidP="002A1125">
      <w:pPr>
        <w:numPr>
          <w:ilvl w:val="0"/>
          <w:numId w:val="1"/>
        </w:numPr>
        <w:jc w:val="both"/>
        <w:rPr>
          <w:sz w:val="28"/>
          <w:szCs w:val="28"/>
        </w:rPr>
      </w:pPr>
      <w:r w:rsidRPr="002A1125">
        <w:rPr>
          <w:sz w:val="28"/>
          <w:szCs w:val="28"/>
        </w:rPr>
        <w:t xml:space="preserve">Егорова Е.Н., Калинкин М.Н., </w:t>
      </w:r>
      <w:proofErr w:type="spellStart"/>
      <w:r w:rsidRPr="002A1125">
        <w:rPr>
          <w:sz w:val="28"/>
          <w:szCs w:val="28"/>
        </w:rPr>
        <w:t>Мазур</w:t>
      </w:r>
      <w:proofErr w:type="spellEnd"/>
      <w:r w:rsidRPr="002A1125">
        <w:rPr>
          <w:sz w:val="28"/>
          <w:szCs w:val="28"/>
        </w:rPr>
        <w:t xml:space="preserve"> Е.С.</w:t>
      </w:r>
      <w:r w:rsidRPr="002A1125">
        <w:rPr>
          <w:sz w:val="28"/>
          <w:szCs w:val="28"/>
        </w:rPr>
        <w:t xml:space="preserve"> </w:t>
      </w:r>
      <w:proofErr w:type="gramStart"/>
      <w:r w:rsidRPr="002A1125">
        <w:rPr>
          <w:sz w:val="28"/>
          <w:szCs w:val="28"/>
          <w:lang w:val="en-US"/>
        </w:rPr>
        <w:t>C</w:t>
      </w:r>
      <w:proofErr w:type="spellStart"/>
      <w:proofErr w:type="gramEnd"/>
      <w:r w:rsidRPr="002A1125">
        <w:rPr>
          <w:sz w:val="28"/>
          <w:szCs w:val="28"/>
        </w:rPr>
        <w:t>истемное</w:t>
      </w:r>
      <w:proofErr w:type="spellEnd"/>
      <w:r w:rsidRPr="002A1125">
        <w:rPr>
          <w:sz w:val="28"/>
          <w:szCs w:val="28"/>
        </w:rPr>
        <w:t xml:space="preserve"> воспаление в патогенезе хронической сердечной недостаточности. </w:t>
      </w:r>
      <w:r w:rsidRPr="002A1125">
        <w:rPr>
          <w:sz w:val="28"/>
          <w:szCs w:val="28"/>
        </w:rPr>
        <w:t xml:space="preserve">Верхневолжский медицинский журнал. </w:t>
      </w:r>
      <w:r>
        <w:rPr>
          <w:sz w:val="28"/>
          <w:szCs w:val="28"/>
          <w:lang w:val="en-US"/>
        </w:rPr>
        <w:t xml:space="preserve">- </w:t>
      </w:r>
      <w:r w:rsidRPr="002A1125">
        <w:rPr>
          <w:sz w:val="28"/>
          <w:szCs w:val="28"/>
        </w:rPr>
        <w:t xml:space="preserve">2012. </w:t>
      </w:r>
      <w:r>
        <w:rPr>
          <w:sz w:val="28"/>
          <w:szCs w:val="28"/>
          <w:lang w:val="en-US"/>
        </w:rPr>
        <w:t xml:space="preserve">- </w:t>
      </w:r>
      <w:r w:rsidRPr="002A1125">
        <w:rPr>
          <w:sz w:val="28"/>
          <w:szCs w:val="28"/>
        </w:rPr>
        <w:t xml:space="preserve">Т. 10. № 1. </w:t>
      </w:r>
      <w:r>
        <w:rPr>
          <w:sz w:val="28"/>
          <w:szCs w:val="28"/>
          <w:lang w:val="en-US"/>
        </w:rPr>
        <w:t xml:space="preserve">- </w:t>
      </w:r>
      <w:r w:rsidRPr="002A1125">
        <w:rPr>
          <w:sz w:val="28"/>
          <w:szCs w:val="28"/>
        </w:rPr>
        <w:t>С. 16-19.</w:t>
      </w:r>
    </w:p>
    <w:p w:rsidR="002A1125" w:rsidRPr="002A1125" w:rsidRDefault="002A1125" w:rsidP="002A1125">
      <w:pPr>
        <w:numPr>
          <w:ilvl w:val="0"/>
          <w:numId w:val="1"/>
        </w:numPr>
        <w:jc w:val="both"/>
        <w:rPr>
          <w:sz w:val="28"/>
          <w:szCs w:val="28"/>
        </w:rPr>
      </w:pPr>
      <w:r w:rsidRPr="002A1125">
        <w:rPr>
          <w:sz w:val="28"/>
          <w:szCs w:val="28"/>
        </w:rPr>
        <w:t xml:space="preserve">Егорова Е.Н., Кузьмина М.И., </w:t>
      </w:r>
      <w:proofErr w:type="spellStart"/>
      <w:r w:rsidRPr="002A1125">
        <w:rPr>
          <w:sz w:val="28"/>
          <w:szCs w:val="28"/>
        </w:rPr>
        <w:t>Мазур</w:t>
      </w:r>
      <w:proofErr w:type="spellEnd"/>
      <w:r w:rsidRPr="002A1125">
        <w:rPr>
          <w:sz w:val="28"/>
          <w:szCs w:val="28"/>
        </w:rPr>
        <w:t xml:space="preserve"> В.В., Сергеева С.И., Калинкин М.Н., </w:t>
      </w:r>
      <w:proofErr w:type="spellStart"/>
      <w:r w:rsidRPr="002A1125">
        <w:rPr>
          <w:sz w:val="28"/>
          <w:szCs w:val="28"/>
        </w:rPr>
        <w:t>Мазур</w:t>
      </w:r>
      <w:proofErr w:type="spellEnd"/>
      <w:r w:rsidRPr="002A1125">
        <w:rPr>
          <w:sz w:val="28"/>
          <w:szCs w:val="28"/>
        </w:rPr>
        <w:t xml:space="preserve"> Е.С.</w:t>
      </w:r>
      <w:r w:rsidRPr="002A1125">
        <w:rPr>
          <w:sz w:val="28"/>
          <w:szCs w:val="28"/>
        </w:rPr>
        <w:t xml:space="preserve"> Маркеры системного воспаления и </w:t>
      </w:r>
      <w:proofErr w:type="spellStart"/>
      <w:r w:rsidRPr="002A1125">
        <w:rPr>
          <w:sz w:val="28"/>
          <w:szCs w:val="28"/>
        </w:rPr>
        <w:t>микробиоценоз</w:t>
      </w:r>
      <w:proofErr w:type="spellEnd"/>
      <w:r w:rsidRPr="002A1125">
        <w:rPr>
          <w:sz w:val="28"/>
          <w:szCs w:val="28"/>
        </w:rPr>
        <w:t xml:space="preserve"> толстого кишечника при хронической сердечной недостаточности. </w:t>
      </w:r>
      <w:r w:rsidRPr="002A1125">
        <w:rPr>
          <w:sz w:val="28"/>
          <w:szCs w:val="28"/>
        </w:rPr>
        <w:t xml:space="preserve">Верхневолжский медицинский журнал. </w:t>
      </w:r>
      <w:r>
        <w:rPr>
          <w:sz w:val="28"/>
          <w:szCs w:val="28"/>
        </w:rPr>
        <w:t xml:space="preserve">- </w:t>
      </w:r>
      <w:r w:rsidRPr="002A1125">
        <w:rPr>
          <w:sz w:val="28"/>
          <w:szCs w:val="28"/>
        </w:rPr>
        <w:t xml:space="preserve">2011. </w:t>
      </w:r>
      <w:r>
        <w:rPr>
          <w:sz w:val="28"/>
          <w:szCs w:val="28"/>
        </w:rPr>
        <w:t xml:space="preserve">- </w:t>
      </w:r>
      <w:r w:rsidRPr="002A1125">
        <w:rPr>
          <w:sz w:val="28"/>
          <w:szCs w:val="28"/>
        </w:rPr>
        <w:t xml:space="preserve">Т. 9. № 1. </w:t>
      </w:r>
      <w:r>
        <w:rPr>
          <w:sz w:val="28"/>
          <w:szCs w:val="28"/>
        </w:rPr>
        <w:t xml:space="preserve">- </w:t>
      </w:r>
      <w:r w:rsidRPr="002A1125">
        <w:rPr>
          <w:sz w:val="28"/>
          <w:szCs w:val="28"/>
        </w:rPr>
        <w:t>С. 3-7.</w:t>
      </w:r>
    </w:p>
    <w:p w:rsidR="00A2121B" w:rsidRPr="00276F54" w:rsidRDefault="00AA6739" w:rsidP="00276F54">
      <w:pPr>
        <w:numPr>
          <w:ilvl w:val="0"/>
          <w:numId w:val="1"/>
        </w:numPr>
        <w:jc w:val="both"/>
        <w:rPr>
          <w:sz w:val="28"/>
          <w:szCs w:val="28"/>
        </w:rPr>
      </w:pPr>
      <w:r w:rsidRPr="002A1125">
        <w:rPr>
          <w:sz w:val="28"/>
          <w:szCs w:val="28"/>
        </w:rPr>
        <w:t xml:space="preserve"> </w:t>
      </w:r>
      <w:proofErr w:type="spellStart"/>
      <w:r w:rsidRPr="00276F54">
        <w:rPr>
          <w:sz w:val="28"/>
          <w:szCs w:val="28"/>
          <w:lang w:val="en-US"/>
        </w:rPr>
        <w:t>Baigent</w:t>
      </w:r>
      <w:proofErr w:type="spellEnd"/>
      <w:r w:rsidRPr="00276F54">
        <w:rPr>
          <w:sz w:val="28"/>
          <w:szCs w:val="28"/>
          <w:lang w:val="en-US"/>
        </w:rPr>
        <w:t xml:space="preserve"> C., Blackwell L., </w:t>
      </w:r>
      <w:proofErr w:type="spellStart"/>
      <w:r w:rsidRPr="00276F54">
        <w:rPr>
          <w:sz w:val="28"/>
          <w:szCs w:val="28"/>
          <w:lang w:val="en-US"/>
        </w:rPr>
        <w:t>Emberson</w:t>
      </w:r>
      <w:proofErr w:type="spellEnd"/>
      <w:r w:rsidRPr="00276F54">
        <w:rPr>
          <w:sz w:val="28"/>
          <w:szCs w:val="28"/>
          <w:lang w:val="en-US"/>
        </w:rPr>
        <w:t xml:space="preserve"> J. et al. Cholesterol Treatment </w:t>
      </w:r>
      <w:proofErr w:type="spellStart"/>
      <w:r w:rsidRPr="00276F54">
        <w:rPr>
          <w:sz w:val="28"/>
          <w:szCs w:val="28"/>
          <w:lang w:val="en-US"/>
        </w:rPr>
        <w:t>Frialists</w:t>
      </w:r>
      <w:proofErr w:type="spellEnd"/>
      <w:r w:rsidRPr="00276F54">
        <w:rPr>
          <w:sz w:val="28"/>
          <w:szCs w:val="28"/>
          <w:lang w:val="en-US"/>
        </w:rPr>
        <w:t xml:space="preserve"> (CTT) Collaboration. Lancet. – 2010. – 376. </w:t>
      </w:r>
      <w:r w:rsidRPr="00276F54">
        <w:rPr>
          <w:sz w:val="28"/>
          <w:szCs w:val="28"/>
        </w:rPr>
        <w:t xml:space="preserve">= 1670-1681. </w:t>
      </w:r>
    </w:p>
    <w:p w:rsidR="00A2121B" w:rsidRPr="00276F54" w:rsidRDefault="00A2121B" w:rsidP="00276F54">
      <w:pPr>
        <w:ind w:firstLine="708"/>
        <w:jc w:val="both"/>
        <w:rPr>
          <w:sz w:val="28"/>
          <w:szCs w:val="28"/>
        </w:rPr>
      </w:pPr>
    </w:p>
    <w:p w:rsidR="00A2121B" w:rsidRPr="00276F54" w:rsidRDefault="00A2121B" w:rsidP="00276F54">
      <w:pPr>
        <w:ind w:firstLine="708"/>
        <w:jc w:val="both"/>
        <w:rPr>
          <w:sz w:val="28"/>
          <w:szCs w:val="28"/>
        </w:rPr>
      </w:pPr>
    </w:p>
    <w:p w:rsidR="00A2121B" w:rsidRPr="00276F54" w:rsidRDefault="00AA6739" w:rsidP="00276F54">
      <w:pPr>
        <w:ind w:firstLine="708"/>
        <w:jc w:val="both"/>
        <w:rPr>
          <w:sz w:val="28"/>
          <w:szCs w:val="28"/>
        </w:rPr>
      </w:pPr>
      <w:r w:rsidRPr="00276F54">
        <w:rPr>
          <w:sz w:val="28"/>
          <w:szCs w:val="28"/>
        </w:rPr>
        <w:t>Калинкин Михаил Николаевич – доктор медицинских наук, профессор, ректор Тверской медицинской академии.</w:t>
      </w:r>
    </w:p>
    <w:p w:rsidR="00A2121B" w:rsidRPr="00276F54" w:rsidRDefault="00AA6739" w:rsidP="00276F54">
      <w:pPr>
        <w:ind w:firstLine="708"/>
        <w:jc w:val="both"/>
        <w:rPr>
          <w:sz w:val="28"/>
          <w:szCs w:val="28"/>
        </w:rPr>
      </w:pPr>
      <w:r w:rsidRPr="00276F54">
        <w:rPr>
          <w:sz w:val="28"/>
          <w:szCs w:val="28"/>
        </w:rPr>
        <w:t xml:space="preserve">Волков </w:t>
      </w:r>
      <w:proofErr w:type="spellStart"/>
      <w:r w:rsidRPr="00276F54">
        <w:rPr>
          <w:sz w:val="28"/>
          <w:szCs w:val="28"/>
        </w:rPr>
        <w:t>Виолен</w:t>
      </w:r>
      <w:proofErr w:type="spellEnd"/>
      <w:r w:rsidRPr="00276F54">
        <w:rPr>
          <w:sz w:val="28"/>
          <w:szCs w:val="28"/>
        </w:rPr>
        <w:t xml:space="preserve"> Степанович (контактное лицо) – доктор медицинских наук, профессор кафедры госпитальной терапии, заслуженный деятель науки РФ.</w:t>
      </w:r>
    </w:p>
    <w:p w:rsidR="00A2121B" w:rsidRPr="00276F54" w:rsidRDefault="00AA6739" w:rsidP="00276F54">
      <w:pPr>
        <w:ind w:firstLine="708"/>
        <w:jc w:val="both"/>
        <w:rPr>
          <w:sz w:val="28"/>
          <w:szCs w:val="28"/>
        </w:rPr>
      </w:pPr>
      <w:r w:rsidRPr="00276F54">
        <w:rPr>
          <w:sz w:val="28"/>
          <w:szCs w:val="28"/>
        </w:rPr>
        <w:t>170036, Тверь, Успенского, 10. Тел (8-4822) 77-54-22; (8-4822) 53-85-65.</w:t>
      </w:r>
    </w:p>
    <w:p w:rsidR="00A2121B" w:rsidRDefault="00A2121B">
      <w:pPr>
        <w:spacing w:line="360" w:lineRule="auto"/>
        <w:ind w:firstLine="708"/>
        <w:jc w:val="both"/>
      </w:pPr>
    </w:p>
    <w:p w:rsidR="00A2121B" w:rsidRDefault="00A2121B">
      <w:pPr>
        <w:spacing w:line="360" w:lineRule="auto"/>
        <w:ind w:firstLine="708"/>
        <w:jc w:val="both"/>
      </w:pPr>
    </w:p>
    <w:p w:rsidR="00A2121B" w:rsidRDefault="00A2121B">
      <w:pPr>
        <w:spacing w:line="360" w:lineRule="auto"/>
        <w:ind w:firstLine="708"/>
        <w:jc w:val="both"/>
      </w:pPr>
    </w:p>
    <w:p w:rsidR="00A2121B" w:rsidRDefault="00A2121B">
      <w:pPr>
        <w:spacing w:line="360" w:lineRule="auto"/>
        <w:ind w:firstLine="708"/>
        <w:jc w:val="both"/>
      </w:pPr>
    </w:p>
    <w:p w:rsidR="00A2121B" w:rsidRDefault="00A2121B">
      <w:pPr>
        <w:spacing w:line="360" w:lineRule="auto"/>
        <w:ind w:firstLine="708"/>
        <w:jc w:val="both"/>
      </w:pPr>
    </w:p>
    <w:p w:rsidR="00A2121B" w:rsidRDefault="00A2121B">
      <w:pPr>
        <w:spacing w:line="360" w:lineRule="auto"/>
        <w:ind w:firstLine="708"/>
        <w:jc w:val="both"/>
      </w:pPr>
    </w:p>
    <w:p w:rsidR="00A2121B" w:rsidRDefault="00A2121B">
      <w:pPr>
        <w:spacing w:line="360" w:lineRule="auto"/>
        <w:ind w:firstLine="708"/>
        <w:jc w:val="both"/>
      </w:pPr>
    </w:p>
    <w:p w:rsidR="00A2121B" w:rsidRDefault="00A2121B">
      <w:pPr>
        <w:spacing w:line="360" w:lineRule="auto"/>
        <w:ind w:firstLine="708"/>
        <w:jc w:val="both"/>
      </w:pPr>
    </w:p>
    <w:p w:rsidR="00A2121B" w:rsidRDefault="00A2121B">
      <w:pPr>
        <w:spacing w:line="360" w:lineRule="auto"/>
        <w:ind w:firstLine="708"/>
        <w:jc w:val="both"/>
      </w:pPr>
    </w:p>
    <w:p w:rsidR="00A2121B" w:rsidRDefault="00A2121B">
      <w:pPr>
        <w:spacing w:line="360" w:lineRule="auto"/>
        <w:ind w:firstLine="708"/>
        <w:jc w:val="both"/>
      </w:pPr>
    </w:p>
    <w:p w:rsidR="00A2121B" w:rsidRDefault="00A2121B">
      <w:pPr>
        <w:spacing w:line="360" w:lineRule="auto"/>
        <w:ind w:firstLine="708"/>
        <w:jc w:val="both"/>
      </w:pPr>
    </w:p>
    <w:p w:rsidR="00A2121B" w:rsidRDefault="00A2121B">
      <w:pPr>
        <w:spacing w:line="360" w:lineRule="auto"/>
        <w:ind w:firstLine="708"/>
        <w:jc w:val="both"/>
      </w:pPr>
    </w:p>
    <w:p w:rsidR="00A2121B" w:rsidRDefault="00A2121B">
      <w:pPr>
        <w:spacing w:line="360" w:lineRule="auto"/>
        <w:ind w:firstLine="708"/>
        <w:jc w:val="both"/>
      </w:pPr>
    </w:p>
    <w:p w:rsidR="00A2121B" w:rsidRDefault="00A2121B">
      <w:pPr>
        <w:spacing w:line="360" w:lineRule="auto"/>
        <w:ind w:firstLine="708"/>
        <w:jc w:val="both"/>
      </w:pPr>
    </w:p>
    <w:p w:rsidR="00A2121B" w:rsidRDefault="00A2121B">
      <w:pPr>
        <w:spacing w:line="360" w:lineRule="auto"/>
        <w:ind w:firstLine="708"/>
        <w:jc w:val="both"/>
      </w:pPr>
    </w:p>
    <w:p w:rsidR="00A2121B" w:rsidRDefault="00A2121B">
      <w:pPr>
        <w:spacing w:line="360" w:lineRule="auto"/>
        <w:ind w:firstLine="708"/>
        <w:jc w:val="both"/>
      </w:pPr>
    </w:p>
    <w:p w:rsidR="00A2121B" w:rsidRDefault="00A2121B">
      <w:pPr>
        <w:spacing w:line="360" w:lineRule="auto"/>
        <w:ind w:firstLine="708"/>
        <w:jc w:val="both"/>
      </w:pPr>
    </w:p>
    <w:p w:rsidR="00A2121B" w:rsidRDefault="00A2121B">
      <w:pPr>
        <w:spacing w:line="360" w:lineRule="auto"/>
        <w:ind w:firstLine="708"/>
        <w:jc w:val="both"/>
      </w:pPr>
    </w:p>
    <w:p w:rsidR="00A2121B" w:rsidRDefault="00A2121B">
      <w:pPr>
        <w:spacing w:line="360" w:lineRule="auto"/>
        <w:ind w:firstLine="708"/>
        <w:jc w:val="both"/>
      </w:pPr>
    </w:p>
    <w:p w:rsidR="00A2121B" w:rsidRDefault="00A2121B">
      <w:pPr>
        <w:spacing w:line="360" w:lineRule="auto"/>
        <w:ind w:firstLine="708"/>
        <w:jc w:val="both"/>
      </w:pPr>
    </w:p>
    <w:p w:rsidR="00A2121B" w:rsidRDefault="0038366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270.45pt;margin-top:135pt;width:18pt;height:36.3pt;z-index:251658752" stroked="f">
            <v:fill color2="fill lighten(0)" rotate="t" method="linear sigma" focus="100%" type="gradient"/>
            <v:textbox>
              <w:txbxContent>
                <w:p w:rsidR="00A2121B" w:rsidRDefault="00AA6739">
                  <w:pPr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*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2" type="#_x0000_t202" style="position:absolute;margin-left:333.45pt;margin-top:198pt;width:19.95pt;height:33.3pt;z-index:251660800" stroked="f">
            <v:textbox>
              <w:txbxContent>
                <w:p w:rsidR="00A2121B" w:rsidRDefault="00AA6739">
                  <w:pPr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*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margin-left:283.95pt;margin-top:0;width:21.75pt;height:36pt;z-index:251659776" filled="f" stroked="f">
            <v:textbox>
              <w:txbxContent>
                <w:p w:rsidR="00A2121B" w:rsidRDefault="00AA6739">
                  <w:pPr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*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9" type="#_x0000_t202" style="position:absolute;margin-left:51.3pt;margin-top:124.8pt;width:16.65pt;height:20.25pt;z-index:251657728" stroked="f">
            <v:fill opacity="655f"/>
            <v:textbox style="mso-next-textbox:#_x0000_s1039">
              <w:txbxContent>
                <w:p w:rsidR="00A2121B" w:rsidRDefault="00AA6739">
                  <w:pPr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*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margin-left:38.85pt;margin-top:52.8pt;width:29.25pt;height:18pt;z-index:251656704" strokecolor="white">
            <v:textbox>
              <w:txbxContent>
                <w:p w:rsidR="00A2121B" w:rsidRDefault="00AA6739">
                  <w:pPr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*</w:t>
                  </w:r>
                </w:p>
              </w:txbxContent>
            </v:textbox>
          </v:shape>
        </w:pict>
      </w:r>
      <w:r w:rsidR="00AA6739">
        <w:rPr>
          <w:noProof/>
        </w:rPr>
        <w:drawing>
          <wp:inline distT="0" distB="0" distL="0" distR="0">
            <wp:extent cx="2806700" cy="3888105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AA6739">
        <w:rPr>
          <w:noProof/>
        </w:rPr>
        <w:drawing>
          <wp:inline distT="0" distB="0" distL="0" distR="0">
            <wp:extent cx="3021330" cy="3999230"/>
            <wp:effectExtent l="0" t="0" r="0" b="0"/>
            <wp:docPr id="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2121B" w:rsidRDefault="0038366A">
      <w:r>
        <w:rPr>
          <w:noProof/>
        </w:rPr>
        <w:pict>
          <v:rect id="_x0000_s1035" style="position:absolute;margin-left:33.45pt;margin-top:1.65pt;width:12pt;height:10.5pt;z-index:251653632" fillcolor="black">
            <v:fill r:id="rId9" o:title="Широкий диагональный 2" type="pattern"/>
          </v:rect>
        </w:pict>
      </w:r>
      <w:r>
        <w:rPr>
          <w:noProof/>
        </w:rPr>
        <w:pict>
          <v:rect id="_x0000_s1036" style="position:absolute;margin-left:170.7pt;margin-top:1.65pt;width:12pt;height:10.5pt;z-index:251654656" fillcolor="#7f7f7f">
            <v:fill color2="fill darken(0)" method="linear sigma" focus="100%" type="gradient"/>
          </v:rect>
        </w:pict>
      </w:r>
      <w:r>
        <w:rPr>
          <w:noProof/>
        </w:rPr>
        <w:pict>
          <v:rect id="_x0000_s1037" style="position:absolute;margin-left:314.7pt;margin-top:1.65pt;width:12pt;height:10.5pt;z-index:251655680" fillcolor="#7f7f7f">
            <v:fill r:id="rId10" o:title="Крупная клетка" focus="100%" type="pattern"/>
          </v:rect>
        </w:pict>
      </w:r>
      <w:r w:rsidR="00AA6739">
        <w:t xml:space="preserve">                -исходное количество         - расчетное количество        - фактическое количество</w:t>
      </w:r>
    </w:p>
    <w:p w:rsidR="00A2121B" w:rsidRDefault="00A2121B"/>
    <w:p w:rsidR="00A2121B" w:rsidRDefault="00A2121B"/>
    <w:p w:rsidR="00A2121B" w:rsidRDefault="00AA6739" w:rsidP="00276F5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Рис.1</w:t>
      </w:r>
      <w:proofErr w:type="spellEnd"/>
      <w:r>
        <w:rPr>
          <w:sz w:val="28"/>
          <w:szCs w:val="28"/>
        </w:rPr>
        <w:t>. Содержание суммарной фракции ЛПОНП и ЛПНП и ХС (в мг) в полном объеме плазмы крови кроликов групп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и Б до начала и после завершения курса внутривенного введения животным гомологичных ЛП. </w:t>
      </w:r>
    </w:p>
    <w:p w:rsidR="00A2121B" w:rsidRDefault="0038366A" w:rsidP="00276F54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3" type="#_x0000_t202" style="position:absolute;margin-left:83.7pt;margin-top:6.75pt;width:24.75pt;height:20.25pt;z-index:251661824" stroked="f">
            <v:textbox>
              <w:txbxContent>
                <w:p w:rsidR="00A2121B" w:rsidRDefault="00AA6739">
                  <w:pPr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*-</w:t>
                  </w:r>
                </w:p>
              </w:txbxContent>
            </v:textbox>
          </v:shape>
        </w:pict>
      </w:r>
    </w:p>
    <w:p w:rsidR="00A2121B" w:rsidRDefault="00AA6739" w:rsidP="00276F54">
      <w:pPr>
        <w:rPr>
          <w:sz w:val="28"/>
          <w:szCs w:val="28"/>
        </w:rPr>
      </w:pPr>
      <w:r>
        <w:rPr>
          <w:sz w:val="28"/>
          <w:szCs w:val="28"/>
        </w:rPr>
        <w:t xml:space="preserve">Примечание:   </w:t>
      </w:r>
      <w:r>
        <w:rPr>
          <w:sz w:val="36"/>
          <w:szCs w:val="36"/>
        </w:rPr>
        <w:t xml:space="preserve"> </w:t>
      </w:r>
      <w:r>
        <w:rPr>
          <w:sz w:val="28"/>
          <w:szCs w:val="28"/>
        </w:rPr>
        <w:t xml:space="preserve">   - различия по отношению к исходным величинам статистически значимы (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 xml:space="preserve">&lt;0,05;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&lt;0,01)</w:t>
      </w:r>
    </w:p>
    <w:p w:rsidR="00A2121B" w:rsidRDefault="00A2121B">
      <w:pPr>
        <w:spacing w:line="360" w:lineRule="auto"/>
        <w:jc w:val="both"/>
        <w:rPr>
          <w:sz w:val="28"/>
          <w:szCs w:val="28"/>
        </w:rPr>
      </w:pPr>
    </w:p>
    <w:p w:rsidR="00A2121B" w:rsidRDefault="00A2121B">
      <w:pPr>
        <w:spacing w:line="360" w:lineRule="auto"/>
        <w:jc w:val="both"/>
        <w:rPr>
          <w:sz w:val="28"/>
          <w:szCs w:val="28"/>
        </w:rPr>
      </w:pPr>
    </w:p>
    <w:p w:rsidR="00A2121B" w:rsidRDefault="00A2121B">
      <w:pPr>
        <w:spacing w:line="360" w:lineRule="auto"/>
        <w:jc w:val="both"/>
        <w:rPr>
          <w:sz w:val="28"/>
          <w:szCs w:val="28"/>
        </w:rPr>
      </w:pPr>
    </w:p>
    <w:p w:rsidR="00A2121B" w:rsidRDefault="00A2121B">
      <w:pPr>
        <w:spacing w:line="360" w:lineRule="auto"/>
        <w:jc w:val="both"/>
        <w:rPr>
          <w:sz w:val="28"/>
          <w:szCs w:val="28"/>
        </w:rPr>
      </w:pPr>
    </w:p>
    <w:p w:rsidR="00A2121B" w:rsidRDefault="00A2121B">
      <w:pPr>
        <w:spacing w:line="360" w:lineRule="auto"/>
        <w:jc w:val="both"/>
        <w:rPr>
          <w:sz w:val="28"/>
          <w:szCs w:val="28"/>
        </w:rPr>
      </w:pPr>
    </w:p>
    <w:p w:rsidR="00A2121B" w:rsidRDefault="00A2121B">
      <w:pPr>
        <w:spacing w:line="360" w:lineRule="auto"/>
        <w:jc w:val="both"/>
        <w:rPr>
          <w:sz w:val="28"/>
          <w:szCs w:val="28"/>
        </w:rPr>
      </w:pPr>
    </w:p>
    <w:p w:rsidR="00A2121B" w:rsidRDefault="00A2121B">
      <w:pPr>
        <w:spacing w:line="360" w:lineRule="auto"/>
        <w:jc w:val="both"/>
        <w:rPr>
          <w:sz w:val="28"/>
          <w:szCs w:val="28"/>
        </w:rPr>
      </w:pPr>
    </w:p>
    <w:p w:rsidR="00A2121B" w:rsidRDefault="00A2121B">
      <w:pPr>
        <w:spacing w:line="360" w:lineRule="auto"/>
        <w:jc w:val="both"/>
        <w:rPr>
          <w:sz w:val="28"/>
          <w:szCs w:val="28"/>
        </w:rPr>
      </w:pPr>
    </w:p>
    <w:p w:rsidR="00A2121B" w:rsidRDefault="00A2121B">
      <w:pPr>
        <w:spacing w:line="360" w:lineRule="auto"/>
        <w:jc w:val="both"/>
        <w:rPr>
          <w:sz w:val="28"/>
          <w:szCs w:val="28"/>
        </w:rPr>
      </w:pPr>
    </w:p>
    <w:p w:rsidR="00A2121B" w:rsidRDefault="00A2121B">
      <w:pPr>
        <w:spacing w:line="360" w:lineRule="auto"/>
        <w:jc w:val="both"/>
        <w:rPr>
          <w:sz w:val="28"/>
          <w:szCs w:val="28"/>
        </w:rPr>
      </w:pPr>
    </w:p>
    <w:p w:rsidR="00A2121B" w:rsidRDefault="00A2121B">
      <w:pPr>
        <w:spacing w:line="360" w:lineRule="auto"/>
        <w:jc w:val="both"/>
        <w:rPr>
          <w:sz w:val="28"/>
          <w:szCs w:val="28"/>
        </w:rPr>
      </w:pPr>
    </w:p>
    <w:p w:rsidR="00A2121B" w:rsidRDefault="00AA6739">
      <w:r>
        <w:rPr>
          <w:noProof/>
        </w:rPr>
        <w:drawing>
          <wp:inline distT="0" distB="0" distL="0" distR="0">
            <wp:extent cx="4651375" cy="5534025"/>
            <wp:effectExtent l="0" t="0" r="0" b="0"/>
            <wp:docPr id="3" name="Объект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2121B" w:rsidRPr="00276F54" w:rsidRDefault="00AA6739" w:rsidP="00276F54">
      <w:pPr>
        <w:pStyle w:val="a5"/>
        <w:rPr>
          <w:sz w:val="28"/>
          <w:szCs w:val="28"/>
        </w:rPr>
      </w:pPr>
      <w:r w:rsidRPr="00276F54">
        <w:rPr>
          <w:sz w:val="28"/>
          <w:szCs w:val="28"/>
        </w:rPr>
        <w:t>Индикаторное время</w:t>
      </w:r>
    </w:p>
    <w:p w:rsidR="00A2121B" w:rsidRPr="00276F54" w:rsidRDefault="00AA6739" w:rsidP="00276F54">
      <w:pPr>
        <w:rPr>
          <w:sz w:val="28"/>
          <w:szCs w:val="28"/>
        </w:rPr>
      </w:pPr>
      <w:proofErr w:type="spellStart"/>
      <w:r w:rsidRPr="00276F54">
        <w:rPr>
          <w:sz w:val="28"/>
          <w:szCs w:val="28"/>
        </w:rPr>
        <w:t>Рис.2</w:t>
      </w:r>
      <w:proofErr w:type="spellEnd"/>
      <w:r w:rsidRPr="00276F54">
        <w:rPr>
          <w:sz w:val="28"/>
          <w:szCs w:val="28"/>
        </w:rPr>
        <w:t xml:space="preserve">. Динамика изменения показателей абсолютной радиоактивности суммарной фракции сывороточных ЛПОНП и ЛПНП у </w:t>
      </w:r>
      <w:proofErr w:type="spellStart"/>
      <w:r w:rsidRPr="00276F54">
        <w:rPr>
          <w:sz w:val="28"/>
          <w:szCs w:val="28"/>
        </w:rPr>
        <w:t>интактных</w:t>
      </w:r>
      <w:proofErr w:type="spellEnd"/>
      <w:r w:rsidRPr="00276F54">
        <w:rPr>
          <w:sz w:val="28"/>
          <w:szCs w:val="28"/>
        </w:rPr>
        <w:t xml:space="preserve"> кроликов (норма) и кроликов с экспериментальной ГЛП после внутривенной инъекции ЛП, меченых </w:t>
      </w:r>
      <w:r w:rsidRPr="00276F54">
        <w:rPr>
          <w:sz w:val="28"/>
          <w:szCs w:val="28"/>
          <w:vertAlign w:val="superscript"/>
        </w:rPr>
        <w:t>131</w:t>
      </w:r>
      <w:r w:rsidRPr="00276F54">
        <w:rPr>
          <w:sz w:val="28"/>
          <w:szCs w:val="28"/>
          <w:lang w:val="en-US"/>
        </w:rPr>
        <w:t>J</w:t>
      </w:r>
      <w:r w:rsidRPr="00276F54">
        <w:rPr>
          <w:sz w:val="28"/>
          <w:szCs w:val="28"/>
        </w:rPr>
        <w:t xml:space="preserve"> . По оси ординат – абсолютная радиоактивность фракции ЛПОНП и ЛПНП (в </w:t>
      </w:r>
      <w:proofErr w:type="spellStart"/>
      <w:r w:rsidRPr="00276F54">
        <w:rPr>
          <w:sz w:val="28"/>
          <w:szCs w:val="28"/>
        </w:rPr>
        <w:t>имп</w:t>
      </w:r>
      <w:proofErr w:type="spellEnd"/>
      <w:r w:rsidRPr="00276F54">
        <w:rPr>
          <w:sz w:val="28"/>
          <w:szCs w:val="28"/>
        </w:rPr>
        <w:t xml:space="preserve">/мин на всю массу ЛП в крови). </w:t>
      </w:r>
    </w:p>
    <w:p w:rsidR="00A2121B" w:rsidRPr="00276F54" w:rsidRDefault="00A2121B" w:rsidP="00276F54">
      <w:pPr>
        <w:rPr>
          <w:sz w:val="28"/>
          <w:szCs w:val="28"/>
        </w:rPr>
      </w:pPr>
    </w:p>
    <w:p w:rsidR="00A2121B" w:rsidRPr="00276F54" w:rsidRDefault="00AA6739" w:rsidP="00276F54">
      <w:pPr>
        <w:rPr>
          <w:sz w:val="28"/>
          <w:szCs w:val="28"/>
        </w:rPr>
      </w:pPr>
      <w:r w:rsidRPr="00276F54">
        <w:rPr>
          <w:sz w:val="28"/>
          <w:szCs w:val="28"/>
        </w:rPr>
        <w:t>Примечание: *- различия статистически значимы (</w:t>
      </w:r>
      <w:proofErr w:type="spellStart"/>
      <w:proofErr w:type="gramStart"/>
      <w:r w:rsidRPr="00276F54">
        <w:rPr>
          <w:sz w:val="28"/>
          <w:szCs w:val="28"/>
        </w:rPr>
        <w:t>р</w:t>
      </w:r>
      <w:proofErr w:type="spellEnd"/>
      <w:proofErr w:type="gramEnd"/>
      <w:r w:rsidRPr="00276F54">
        <w:rPr>
          <w:sz w:val="28"/>
          <w:szCs w:val="28"/>
        </w:rPr>
        <w:t>&lt;0,05 – 0,01).</w:t>
      </w:r>
    </w:p>
    <w:p w:rsidR="00A2121B" w:rsidRDefault="00A2121B">
      <w:pPr>
        <w:spacing w:line="360" w:lineRule="auto"/>
        <w:jc w:val="both"/>
      </w:pPr>
    </w:p>
    <w:p w:rsidR="00A2121B" w:rsidRDefault="00A2121B">
      <w:pPr>
        <w:spacing w:line="360" w:lineRule="auto"/>
        <w:jc w:val="both"/>
      </w:pPr>
    </w:p>
    <w:p w:rsidR="00A2121B" w:rsidRPr="002A1125" w:rsidRDefault="00A2121B">
      <w:pPr>
        <w:spacing w:line="360" w:lineRule="auto"/>
        <w:jc w:val="both"/>
      </w:pPr>
    </w:p>
    <w:p w:rsidR="00276F54" w:rsidRPr="002A1125" w:rsidRDefault="00276F54">
      <w:pPr>
        <w:spacing w:line="360" w:lineRule="auto"/>
        <w:jc w:val="both"/>
      </w:pPr>
    </w:p>
    <w:p w:rsidR="00276F54" w:rsidRPr="002A1125" w:rsidRDefault="00276F54">
      <w:pPr>
        <w:spacing w:line="360" w:lineRule="auto"/>
        <w:jc w:val="both"/>
      </w:pPr>
    </w:p>
    <w:p w:rsidR="00A2121B" w:rsidRDefault="00A2121B">
      <w:pPr>
        <w:spacing w:line="360" w:lineRule="auto"/>
        <w:jc w:val="both"/>
      </w:pPr>
    </w:p>
    <w:p w:rsidR="00A2121B" w:rsidRDefault="00AA6739">
      <w:r>
        <w:rPr>
          <w:noProof/>
        </w:rPr>
        <w:drawing>
          <wp:inline distT="0" distB="0" distL="0" distR="0">
            <wp:extent cx="5716905" cy="2926080"/>
            <wp:effectExtent l="0" t="0" r="0" b="0"/>
            <wp:docPr id="4" name="Объект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2121B" w:rsidRDefault="00AA6739" w:rsidP="00276F5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Рис.3</w:t>
      </w:r>
      <w:proofErr w:type="spellEnd"/>
      <w:r>
        <w:rPr>
          <w:sz w:val="28"/>
          <w:szCs w:val="28"/>
        </w:rPr>
        <w:t xml:space="preserve">. Радиоактивность </w:t>
      </w:r>
      <w:proofErr w:type="spellStart"/>
      <w:r>
        <w:rPr>
          <w:sz w:val="28"/>
          <w:szCs w:val="28"/>
        </w:rPr>
        <w:t>гомогената</w:t>
      </w:r>
      <w:proofErr w:type="spellEnd"/>
      <w:r>
        <w:rPr>
          <w:sz w:val="28"/>
          <w:szCs w:val="28"/>
        </w:rPr>
        <w:t xml:space="preserve"> печени </w:t>
      </w:r>
      <w:proofErr w:type="spellStart"/>
      <w:r>
        <w:rPr>
          <w:sz w:val="28"/>
          <w:szCs w:val="28"/>
        </w:rPr>
        <w:t>интактных</w:t>
      </w:r>
      <w:proofErr w:type="spellEnd"/>
      <w:r>
        <w:rPr>
          <w:sz w:val="28"/>
          <w:szCs w:val="28"/>
        </w:rPr>
        <w:t xml:space="preserve"> кроликов (норма) и кроликов с экспериментальной ГЛП через 12 и 24 часа после внутривенной инъекции ЛП, меченных </w:t>
      </w:r>
      <w:r>
        <w:rPr>
          <w:sz w:val="28"/>
          <w:szCs w:val="28"/>
          <w:vertAlign w:val="superscript"/>
        </w:rPr>
        <w:t>131</w:t>
      </w:r>
      <w:r>
        <w:rPr>
          <w:sz w:val="28"/>
          <w:szCs w:val="28"/>
          <w:lang w:val="en-US"/>
        </w:rPr>
        <w:t>J</w:t>
      </w:r>
      <w:r>
        <w:rPr>
          <w:sz w:val="28"/>
          <w:szCs w:val="28"/>
        </w:rPr>
        <w:t xml:space="preserve">. По оси ординат – радиоактивность </w:t>
      </w:r>
      <w:proofErr w:type="spellStart"/>
      <w:r>
        <w:rPr>
          <w:sz w:val="28"/>
          <w:szCs w:val="28"/>
        </w:rPr>
        <w:t>гомогената</w:t>
      </w:r>
      <w:proofErr w:type="spellEnd"/>
      <w:r>
        <w:rPr>
          <w:sz w:val="28"/>
          <w:szCs w:val="28"/>
        </w:rPr>
        <w:t xml:space="preserve"> печени (в </w:t>
      </w:r>
      <w:proofErr w:type="spellStart"/>
      <w:r>
        <w:rPr>
          <w:sz w:val="28"/>
          <w:szCs w:val="28"/>
        </w:rPr>
        <w:t>имп</w:t>
      </w:r>
      <w:proofErr w:type="spellEnd"/>
      <w:r>
        <w:rPr>
          <w:sz w:val="28"/>
          <w:szCs w:val="28"/>
        </w:rPr>
        <w:t>/мин на 1 мг белка)</w:t>
      </w:r>
    </w:p>
    <w:p w:rsidR="00A2121B" w:rsidRDefault="00A2121B"/>
    <w:p w:rsidR="00A2121B" w:rsidRDefault="00A2121B">
      <w:pPr>
        <w:spacing w:line="360" w:lineRule="auto"/>
        <w:jc w:val="both"/>
      </w:pPr>
    </w:p>
    <w:p w:rsidR="00A2121B" w:rsidRDefault="00A2121B">
      <w:pPr>
        <w:spacing w:line="360" w:lineRule="auto"/>
        <w:jc w:val="both"/>
      </w:pPr>
    </w:p>
    <w:sectPr w:rsidR="00A2121B" w:rsidSect="00A2121B">
      <w:footerReference w:type="even" r:id="rId13"/>
      <w:footerReference w:type="default" r:id="rId14"/>
      <w:pgSz w:w="11906" w:h="16838" w:code="9"/>
      <w:pgMar w:top="1134" w:right="850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21B" w:rsidRDefault="00AA6739">
      <w:r>
        <w:separator/>
      </w:r>
    </w:p>
  </w:endnote>
  <w:endnote w:type="continuationSeparator" w:id="0">
    <w:p w:rsidR="00A2121B" w:rsidRDefault="00AA67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21B" w:rsidRDefault="0038366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A6739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2121B" w:rsidRDefault="00A2121B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21B" w:rsidRDefault="0038366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A673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A1125">
      <w:rPr>
        <w:rStyle w:val="a4"/>
        <w:noProof/>
      </w:rPr>
      <w:t>6</w:t>
    </w:r>
    <w:r>
      <w:rPr>
        <w:rStyle w:val="a4"/>
      </w:rPr>
      <w:fldChar w:fldCharType="end"/>
    </w:r>
  </w:p>
  <w:p w:rsidR="00A2121B" w:rsidRDefault="00A2121B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21B" w:rsidRDefault="00AA6739">
      <w:r>
        <w:separator/>
      </w:r>
    </w:p>
  </w:footnote>
  <w:footnote w:type="continuationSeparator" w:id="0">
    <w:p w:rsidR="00A2121B" w:rsidRDefault="00AA67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C46E23"/>
    <w:multiLevelType w:val="hybridMultilevel"/>
    <w:tmpl w:val="4FA02962"/>
    <w:lvl w:ilvl="0" w:tplc="C916D46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57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A6739"/>
    <w:rsid w:val="00276F54"/>
    <w:rsid w:val="002A1125"/>
    <w:rsid w:val="0038366A"/>
    <w:rsid w:val="00A2121B"/>
    <w:rsid w:val="00AA6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21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rsid w:val="00A2121B"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  <w:rsid w:val="00A2121B"/>
  </w:style>
  <w:style w:type="paragraph" w:styleId="a5">
    <w:name w:val="caption"/>
    <w:basedOn w:val="a"/>
    <w:next w:val="a"/>
    <w:qFormat/>
    <w:rsid w:val="00A2121B"/>
    <w:rPr>
      <w:b/>
    </w:rPr>
  </w:style>
  <w:style w:type="paragraph" w:styleId="a6">
    <w:name w:val="Balloon Text"/>
    <w:basedOn w:val="a"/>
    <w:link w:val="a7"/>
    <w:uiPriority w:val="99"/>
    <w:semiHidden/>
    <w:unhideWhenUsed/>
    <w:rsid w:val="00276F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F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gif"/><Relationship Id="rId4" Type="http://schemas.openxmlformats.org/officeDocument/2006/relationships/webSettings" Target="webSettings.xml"/><Relationship Id="rId9" Type="http://schemas.openxmlformats.org/officeDocument/2006/relationships/image" Target="media/image1.gif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2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Office_Excel33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_____Microsoft_Office_Excel44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499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Группа А </a:t>
            </a:r>
          </a:p>
        </c:rich>
      </c:tx>
      <c:layout>
        <c:manualLayout>
          <c:xMode val="edge"/>
          <c:yMode val="edge"/>
          <c:x val="0.442105263157895"/>
          <c:y val="2.0100502512562821E-2"/>
        </c:manualLayout>
      </c:layout>
      <c:spPr>
        <a:noFill/>
        <a:ln w="25349">
          <a:noFill/>
        </a:ln>
      </c:spPr>
    </c:title>
    <c:plotArea>
      <c:layout>
        <c:manualLayout>
          <c:layoutTarget val="inner"/>
          <c:xMode val="edge"/>
          <c:yMode val="edge"/>
          <c:x val="8.0701754385964927E-2"/>
          <c:y val="0.10804020100502512"/>
          <c:w val="0.91578947368421093"/>
          <c:h val="0.8467336683417086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исходное количество</c:v>
                </c:pt>
              </c:strCache>
            </c:strRef>
          </c:tx>
          <c:spPr>
            <a:solidFill>
              <a:srgbClr val="FF0000"/>
            </a:solidFill>
            <a:ln w="12675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2"/>
                <c:pt idx="0">
                  <c:v>лпонп+лпнп</c:v>
                </c:pt>
                <c:pt idx="1">
                  <c:v>хс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300</c:v>
                </c:pt>
                <c:pt idx="1">
                  <c:v>100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расчетное количество</c:v>
                </c:pt>
              </c:strCache>
            </c:strRef>
          </c:tx>
          <c:spPr>
            <a:solidFill>
              <a:srgbClr val="00FFFF"/>
            </a:solidFill>
            <a:ln w="12675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2"/>
                <c:pt idx="0">
                  <c:v>лпонп+лпнп</c:v>
                </c:pt>
                <c:pt idx="1">
                  <c:v>хс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900</c:v>
                </c:pt>
                <c:pt idx="1">
                  <c:v>200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фактическое количество</c:v>
                </c:pt>
              </c:strCache>
            </c:strRef>
          </c:tx>
          <c:spPr>
            <a:solidFill>
              <a:srgbClr val="99CC00"/>
            </a:solidFill>
            <a:ln w="12675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2"/>
                <c:pt idx="0">
                  <c:v>лпонп+лпнп</c:v>
                </c:pt>
                <c:pt idx="1">
                  <c:v>хс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600</c:v>
                </c:pt>
                <c:pt idx="1">
                  <c:v>150</c:v>
                </c:pt>
              </c:numCache>
            </c:numRef>
          </c:val>
        </c:ser>
        <c:axId val="148914176"/>
        <c:axId val="148916864"/>
      </c:barChart>
      <c:catAx>
        <c:axId val="148914176"/>
        <c:scaling>
          <c:orientation val="minMax"/>
        </c:scaling>
        <c:axPos val="b"/>
        <c:numFmt formatCode="General" sourceLinked="1"/>
        <c:tickLblPos val="nextTo"/>
        <c:spPr>
          <a:ln w="316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499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48916864"/>
        <c:crosses val="autoZero"/>
        <c:auto val="1"/>
        <c:lblAlgn val="ctr"/>
        <c:lblOffset val="100"/>
        <c:tickLblSkip val="1"/>
        <c:tickMarkSkip val="1"/>
      </c:catAx>
      <c:valAx>
        <c:axId val="148916864"/>
        <c:scaling>
          <c:orientation val="minMax"/>
          <c:max val="1200"/>
        </c:scaling>
        <c:axPos val="l"/>
        <c:majorGridlines>
          <c:spPr>
            <a:ln w="12675">
              <a:solidFill>
                <a:srgbClr val="FFFFFF"/>
              </a:solidFill>
              <a:prstDash val="solid"/>
            </a:ln>
          </c:spPr>
        </c:majorGridlines>
        <c:numFmt formatCode="General" sourceLinked="1"/>
        <c:tickLblPos val="nextTo"/>
        <c:spPr>
          <a:ln w="316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499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48914176"/>
        <c:crosses val="autoZero"/>
        <c:crossBetween val="between"/>
        <c:majorUnit val="100"/>
      </c:valAx>
      <c:spPr>
        <a:gradFill rotWithShape="0">
          <a:gsLst>
            <a:gs pos="0">
              <a:srgbClr val="FFFFFF"/>
            </a:gs>
            <a:gs pos="100000">
              <a:srgbClr val="FFFFFF">
                <a:gamma/>
                <a:tint val="0"/>
                <a:invGamma/>
              </a:srgbClr>
            </a:gs>
          </a:gsLst>
          <a:lin ang="5400000" scaled="1"/>
        </a:gradFill>
        <a:ln w="25349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499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5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Группа Б</a:t>
            </a:r>
          </a:p>
        </c:rich>
      </c:tx>
      <c:layout>
        <c:manualLayout>
          <c:xMode val="edge"/>
          <c:yMode val="edge"/>
          <c:x val="0.44625407166123776"/>
          <c:y val="1.9512195121951223E-2"/>
        </c:manualLayout>
      </c:layout>
      <c:spPr>
        <a:noFill/>
        <a:ln w="25379">
          <a:noFill/>
        </a:ln>
      </c:spPr>
    </c:title>
    <c:plotArea>
      <c:layout>
        <c:manualLayout>
          <c:layoutTarget val="inner"/>
          <c:xMode val="edge"/>
          <c:yMode val="edge"/>
          <c:x val="0.10423452768729648"/>
          <c:y val="4.6341463414634146E-2"/>
          <c:w val="0.89902280130293122"/>
          <c:h val="0.90975609756097564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исходное количество</c:v>
                </c:pt>
              </c:strCache>
            </c:strRef>
          </c:tx>
          <c:spPr>
            <a:solidFill>
              <a:srgbClr val="FF0000"/>
            </a:solidFill>
            <a:ln w="12690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2"/>
                <c:pt idx="0">
                  <c:v>лпонп+лпнп</c:v>
                </c:pt>
                <c:pt idx="1">
                  <c:v>хс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300</c:v>
                </c:pt>
                <c:pt idx="1">
                  <c:v>100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расчетное количество</c:v>
                </c:pt>
              </c:strCache>
            </c:strRef>
          </c:tx>
          <c:spPr>
            <a:solidFill>
              <a:srgbClr val="00FFFF"/>
            </a:solidFill>
            <a:ln w="12690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2"/>
                <c:pt idx="0">
                  <c:v>лпонп+лпнп</c:v>
                </c:pt>
                <c:pt idx="1">
                  <c:v>хс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600</c:v>
                </c:pt>
                <c:pt idx="1">
                  <c:v>200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фактическое количество</c:v>
                </c:pt>
              </c:strCache>
            </c:strRef>
          </c:tx>
          <c:spPr>
            <a:solidFill>
              <a:srgbClr val="99CC00"/>
            </a:solidFill>
            <a:ln w="12690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2"/>
                <c:pt idx="0">
                  <c:v>лпонп+лпнп</c:v>
                </c:pt>
                <c:pt idx="1">
                  <c:v>хс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1200</c:v>
                </c:pt>
                <c:pt idx="1">
                  <c:v>300</c:v>
                </c:pt>
              </c:numCache>
            </c:numRef>
          </c:val>
        </c:ser>
        <c:axId val="206175232"/>
        <c:axId val="206580736"/>
      </c:barChart>
      <c:catAx>
        <c:axId val="206175232"/>
        <c:scaling>
          <c:orientation val="minMax"/>
        </c:scaling>
        <c:axPos val="b"/>
        <c:numFmt formatCode="General" sourceLinked="1"/>
        <c:tickLblPos val="nextTo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06580736"/>
        <c:crosses val="autoZero"/>
        <c:auto val="1"/>
        <c:lblAlgn val="ctr"/>
        <c:lblOffset val="100"/>
        <c:tickLblSkip val="1"/>
        <c:tickMarkSkip val="1"/>
      </c:catAx>
      <c:valAx>
        <c:axId val="206580736"/>
        <c:scaling>
          <c:orientation val="minMax"/>
          <c:max val="1200"/>
        </c:scaling>
        <c:axPos val="l"/>
        <c:majorGridlines>
          <c:spPr>
            <a:ln w="12690">
              <a:solidFill>
                <a:srgbClr val="FFFFFF"/>
              </a:solidFill>
              <a:prstDash val="solid"/>
            </a:ln>
          </c:spPr>
        </c:majorGridlines>
        <c:numFmt formatCode="General" sourceLinked="1"/>
        <c:tickLblPos val="nextTo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06175232"/>
        <c:crosses val="autoZero"/>
        <c:crossBetween val="between"/>
        <c:majorUnit val="100"/>
        <c:minorUnit val="20"/>
      </c:valAx>
      <c:spPr>
        <a:gradFill rotWithShape="0">
          <a:gsLst>
            <a:gs pos="0">
              <a:srgbClr val="FFFFFF"/>
            </a:gs>
            <a:gs pos="100000">
              <a:srgbClr val="FFFFFF">
                <a:gamma/>
                <a:tint val="0"/>
                <a:invGamma/>
              </a:srgbClr>
            </a:gs>
          </a:gsLst>
          <a:lin ang="5400000" scaled="1"/>
        </a:gradFill>
        <a:ln w="25379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5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12638291558584416"/>
          <c:y val="2.8309987567343584E-2"/>
          <c:w val="0.68796406297166057"/>
          <c:h val="0.89805055946954004"/>
        </c:manualLayout>
      </c:layout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норма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5 мин</c:v>
                </c:pt>
                <c:pt idx="1">
                  <c:v>2 ч</c:v>
                </c:pt>
                <c:pt idx="2">
                  <c:v>6 ч</c:v>
                </c:pt>
                <c:pt idx="3">
                  <c:v>12ч</c:v>
                </c:pt>
                <c:pt idx="4">
                  <c:v>24 ч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28000</c:v>
                </c:pt>
                <c:pt idx="1">
                  <c:v>12000</c:v>
                </c:pt>
                <c:pt idx="2">
                  <c:v>5000</c:v>
                </c:pt>
                <c:pt idx="3">
                  <c:v>2500</c:v>
                </c:pt>
                <c:pt idx="4">
                  <c:v>1250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ГЛП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5 мин</c:v>
                </c:pt>
                <c:pt idx="1">
                  <c:v>2 ч</c:v>
                </c:pt>
                <c:pt idx="2">
                  <c:v>6 ч</c:v>
                </c:pt>
                <c:pt idx="3">
                  <c:v>12ч</c:v>
                </c:pt>
                <c:pt idx="4">
                  <c:v>24 ч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55000</c:v>
                </c:pt>
                <c:pt idx="1">
                  <c:v>16000</c:v>
                </c:pt>
                <c:pt idx="2">
                  <c:v>6000</c:v>
                </c:pt>
                <c:pt idx="3">
                  <c:v>16000</c:v>
                </c:pt>
                <c:pt idx="4">
                  <c:v>13000</c:v>
                </c:pt>
              </c:numCache>
            </c:numRef>
          </c:val>
        </c:ser>
        <c:marker val="1"/>
        <c:axId val="77278592"/>
        <c:axId val="77321344"/>
      </c:lineChart>
      <c:catAx>
        <c:axId val="77278592"/>
        <c:scaling>
          <c:orientation val="minMax"/>
        </c:scaling>
        <c:axPos val="b"/>
        <c:numFmt formatCode="General" sourceLinked="1"/>
        <c:tickLblPos val="nextTo"/>
        <c:crossAx val="77321344"/>
        <c:crosses val="autoZero"/>
        <c:auto val="1"/>
        <c:lblAlgn val="ctr"/>
        <c:lblOffset val="100"/>
      </c:catAx>
      <c:valAx>
        <c:axId val="77321344"/>
        <c:scaling>
          <c:orientation val="minMax"/>
        </c:scaling>
        <c:axPos val="l"/>
        <c:majorGridlines/>
        <c:numFmt formatCode="General" sourceLinked="1"/>
        <c:tickLblPos val="nextTo"/>
        <c:crossAx val="772785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2635983263598389"/>
          <c:y val="0.47110332749562178"/>
          <c:w val="0.15899581589958117"/>
          <c:h val="8.4063047285463766E-2"/>
        </c:manualLayout>
      </c:layout>
    </c:legend>
    <c:plotVisOnly val="1"/>
    <c:dispBlanksAs val="gap"/>
  </c:chart>
  <c:externalData r:id="rId1"/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норма</c:v>
                </c:pt>
              </c:strCache>
            </c:strRef>
          </c:tx>
          <c:spPr>
            <a:pattFill prst="dkHorz">
              <a:fgClr>
                <a:srgbClr val="808080"/>
              </a:fgClr>
              <a:bgClr>
                <a:srgbClr val="FFFFFF"/>
              </a:bgClr>
            </a:pattFill>
            <a:ln w="12704">
              <a:solidFill>
                <a:srgbClr val="000000"/>
              </a:solidFill>
              <a:prstDash val="solid"/>
            </a:ln>
          </c:spPr>
          <c:cat>
            <c:strRef>
              <c:f>Лист1!$A$2:$A$3</c:f>
              <c:strCache>
                <c:ptCount val="2"/>
                <c:pt idx="0">
                  <c:v>12 ч</c:v>
                </c:pt>
                <c:pt idx="1">
                  <c:v>24 ч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4.3</c:v>
                </c:pt>
                <c:pt idx="1">
                  <c:v>1.9000000000000001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ГЛП</c:v>
                </c:pt>
              </c:strCache>
            </c:strRef>
          </c:tx>
          <c:spPr>
            <a:solidFill>
              <a:srgbClr val="808080"/>
            </a:solidFill>
            <a:ln w="12704">
              <a:solidFill>
                <a:srgbClr val="000000"/>
              </a:solidFill>
              <a:prstDash val="solid"/>
            </a:ln>
          </c:spPr>
          <c:cat>
            <c:strRef>
              <c:f>Лист1!$A$2:$A$3</c:f>
              <c:strCache>
                <c:ptCount val="2"/>
                <c:pt idx="0">
                  <c:v>12 ч</c:v>
                </c:pt>
                <c:pt idx="1">
                  <c:v>24 ч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6</c:v>
                </c:pt>
                <c:pt idx="1">
                  <c:v>6.5</c:v>
                </c:pt>
              </c:numCache>
            </c:numRef>
          </c:val>
        </c:ser>
        <c:axId val="225539584"/>
        <c:axId val="225541120"/>
      </c:barChart>
      <c:catAx>
        <c:axId val="225539584"/>
        <c:scaling>
          <c:orientation val="minMax"/>
        </c:scaling>
        <c:axPos val="b"/>
        <c:numFmt formatCode="General" sourceLinked="1"/>
        <c:tickLblPos val="nextTo"/>
        <c:crossAx val="225541120"/>
        <c:crosses val="autoZero"/>
        <c:auto val="1"/>
        <c:lblAlgn val="ctr"/>
        <c:lblOffset val="100"/>
      </c:catAx>
      <c:valAx>
        <c:axId val="225541120"/>
        <c:scaling>
          <c:orientation val="minMax"/>
        </c:scaling>
        <c:axPos val="l"/>
        <c:majorGridlines/>
        <c:numFmt formatCode="General" sourceLinked="1"/>
        <c:tickLblPos val="nextTo"/>
        <c:crossAx val="2255395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7966101694915322"/>
          <c:y val="0.43771043771043788"/>
          <c:w val="0.10338983050847453"/>
          <c:h val="0.16161616161616171"/>
        </c:manualLayout>
      </c:layout>
    </c:legend>
    <c:plotVisOnly val="1"/>
    <c:dispBlanksAs val="gap"/>
  </c:chart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0.19238</cdr:x>
      <cdr:y>0.0777</cdr:y>
    </cdr:from>
    <cdr:to>
      <cdr:x>0.24087</cdr:x>
      <cdr:y>0.11805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914400" y="428625"/>
          <a:ext cx="238125" cy="21907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0.17899</cdr:x>
      <cdr:y>0.05138</cdr:y>
    </cdr:from>
    <cdr:to>
      <cdr:x>0.22747</cdr:x>
      <cdr:y>0.097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847725" y="285750"/>
          <a:ext cx="238126" cy="24764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algn="ctr"/>
          <a:r>
            <a:rPr lang="ru-RU" sz="1800"/>
            <a:t>*</a:t>
          </a:r>
        </a:p>
      </cdr:txBody>
    </cdr:sp>
  </cdr:relSizeAnchor>
  <cdr:relSizeAnchor xmlns:cdr="http://schemas.openxmlformats.org/drawingml/2006/chartDrawing">
    <cdr:from>
      <cdr:x>0.57315</cdr:x>
      <cdr:y>0.63308</cdr:y>
    </cdr:from>
    <cdr:to>
      <cdr:x>0.64842</cdr:x>
      <cdr:y>0.67894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2790825" y="3429000"/>
          <a:ext cx="371475" cy="2476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800"/>
            <a:t>*</a:t>
          </a:r>
        </a:p>
      </cdr:txBody>
    </cdr:sp>
  </cdr:relSizeAnchor>
  <cdr:relSizeAnchor xmlns:cdr="http://schemas.openxmlformats.org/drawingml/2006/chartDrawing">
    <cdr:from>
      <cdr:x>0.7181</cdr:x>
      <cdr:y>0.67951</cdr:y>
    </cdr:from>
    <cdr:to>
      <cdr:x>0.77973</cdr:x>
      <cdr:y>0.71278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3269473" y="3695700"/>
          <a:ext cx="280599" cy="18097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800"/>
            <a:t>*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0.19965</cdr:x>
      <cdr:y>0.68723</cdr:y>
    </cdr:from>
    <cdr:to>
      <cdr:x>0.34226</cdr:x>
      <cdr:y>0.77254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095375" y="2209800"/>
          <a:ext cx="781050" cy="276225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>
            <a:lumMod val="95000"/>
          </a:schemeClr>
        </a:solidFill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/>
            <a:t>р = 0,15</a:t>
          </a:r>
        </a:p>
      </cdr:txBody>
    </cdr:sp>
  </cdr:relSizeAnchor>
  <cdr:relSizeAnchor xmlns:cdr="http://schemas.openxmlformats.org/drawingml/2006/chartDrawing">
    <cdr:from>
      <cdr:x>0.58929</cdr:x>
      <cdr:y>0.71079</cdr:y>
    </cdr:from>
    <cdr:to>
      <cdr:x>0.75621</cdr:x>
      <cdr:y>0.80205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3228975" y="2286000"/>
          <a:ext cx="914400" cy="29527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0.58582</cdr:x>
      <cdr:y>0.68152</cdr:y>
    </cdr:from>
    <cdr:to>
      <cdr:x>0.71801</cdr:x>
      <cdr:y>0.76683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3209925" y="2190750"/>
          <a:ext cx="723900" cy="276225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>
            <a:lumMod val="95000"/>
          </a:schemeClr>
        </a:solidFill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/>
            <a:t>р = 0,001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2095</Words>
  <Characters>14135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Калинкин М</vt:lpstr>
    </vt:vector>
  </TitlesOfParts>
  <Company>ТГМА, КГТ</Company>
  <LinksUpToDate>false</LinksUpToDate>
  <CharactersWithSpaces>16198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Калинкин М</dc:title>
  <dc:creator>Пользователь 1</dc:creator>
  <cp:lastModifiedBy>Home</cp:lastModifiedBy>
  <cp:revision>4</cp:revision>
  <cp:lastPrinted>2012-05-12T08:12:00Z</cp:lastPrinted>
  <dcterms:created xsi:type="dcterms:W3CDTF">2012-07-24T07:57:00Z</dcterms:created>
  <dcterms:modified xsi:type="dcterms:W3CDTF">2014-03-09T08:11:00Z</dcterms:modified>
</cp:coreProperties>
</file>